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F0B3A" w14:textId="2E7EB8B5" w:rsidR="006F5FD0" w:rsidRPr="00571687" w:rsidRDefault="00297B55" w:rsidP="00AC5E83">
      <w:pPr>
        <w:rPr>
          <w:sz w:val="20"/>
          <w:lang w:val="en-GB"/>
        </w:rPr>
      </w:pPr>
      <w:r>
        <w:rPr>
          <w:sz w:val="20"/>
          <w:highlight w:val="yellow"/>
          <w:lang w:val="en-GB"/>
        </w:rPr>
        <w:t xml:space="preserve"> </w:t>
      </w:r>
    </w:p>
    <w:p w14:paraId="01BE87E4" w14:textId="34BDDBA9" w:rsidR="006F5FD0" w:rsidRDefault="00AC5E83">
      <w:pPr>
        <w:jc w:val="center"/>
        <w:rPr>
          <w:b/>
          <w:sz w:val="28"/>
          <w:szCs w:val="28"/>
          <w:lang w:val="en-GB"/>
        </w:rPr>
      </w:pPr>
      <w:r>
        <w:rPr>
          <w:b/>
          <w:sz w:val="28"/>
          <w:szCs w:val="28"/>
          <w:lang w:val="en-GB"/>
        </w:rPr>
        <w:t xml:space="preserve">WORK </w:t>
      </w:r>
      <w:r w:rsidR="00C03806">
        <w:rPr>
          <w:b/>
          <w:sz w:val="28"/>
          <w:szCs w:val="28"/>
          <w:lang w:val="en-GB"/>
        </w:rPr>
        <w:t xml:space="preserve">CONTRACT </w:t>
      </w:r>
      <w:r w:rsidR="006F5FD0" w:rsidRPr="00571687">
        <w:rPr>
          <w:b/>
          <w:sz w:val="28"/>
          <w:szCs w:val="28"/>
          <w:lang w:val="en-GB"/>
        </w:rPr>
        <w:t>NOTICE</w:t>
      </w:r>
    </w:p>
    <w:p w14:paraId="69145628" w14:textId="77777777" w:rsidR="00AC5E83" w:rsidRPr="00E35964" w:rsidRDefault="00AC5E83" w:rsidP="00AC5E83">
      <w:pPr>
        <w:jc w:val="center"/>
        <w:rPr>
          <w:rStyle w:val="Robust"/>
          <w:sz w:val="32"/>
          <w:szCs w:val="32"/>
          <w:lang w:val="en-GB"/>
        </w:rPr>
      </w:pPr>
      <w:r w:rsidRPr="00E35964">
        <w:rPr>
          <w:rStyle w:val="Robust"/>
          <w:sz w:val="32"/>
          <w:szCs w:val="32"/>
        </w:rPr>
        <w:t>Construction of the intermediate storage facility for radioactive waste and radiological monitoring system</w:t>
      </w:r>
    </w:p>
    <w:p w14:paraId="4C3A2488" w14:textId="77777777" w:rsidR="00AC5E83" w:rsidRDefault="00AC5E83" w:rsidP="00AC5E83">
      <w:pPr>
        <w:spacing w:beforeAutospacing="1" w:afterAutospacing="1"/>
        <w:rPr>
          <w:rStyle w:val="Robust"/>
          <w:sz w:val="22"/>
          <w:szCs w:val="22"/>
          <w:u w:val="single"/>
          <w:lang w:val="en-GB"/>
        </w:rPr>
      </w:pPr>
      <w:r w:rsidRPr="00CB244C">
        <w:rPr>
          <w:b/>
          <w:sz w:val="22"/>
          <w:szCs w:val="22"/>
          <w:u w:val="single"/>
        </w:rPr>
        <w:t xml:space="preserve">CALL FOR TENDERS: GENERAL INFORMATION </w:t>
      </w:r>
    </w:p>
    <w:p w14:paraId="6D9853BD" w14:textId="77777777" w:rsidR="00AC5E83" w:rsidRPr="00E35964" w:rsidRDefault="00AC5E83" w:rsidP="00AC5E83">
      <w:pPr>
        <w:outlineLvl w:val="0"/>
        <w:rPr>
          <w:rStyle w:val="Robust"/>
          <w:sz w:val="22"/>
          <w:szCs w:val="22"/>
          <w:u w:val="single"/>
          <w:lang w:val="en-GB"/>
        </w:rPr>
      </w:pPr>
      <w:r w:rsidRPr="00E35964">
        <w:rPr>
          <w:rStyle w:val="Robust"/>
          <w:sz w:val="22"/>
          <w:szCs w:val="22"/>
          <w:u w:val="single"/>
        </w:rPr>
        <w:t>I.1) Name and address Contracting Authority</w:t>
      </w:r>
    </w:p>
    <w:p w14:paraId="07D16DCE" w14:textId="5FDECF7A" w:rsidR="00AC5E83" w:rsidRDefault="00AC5E83" w:rsidP="00AC5E83">
      <w:pPr>
        <w:spacing w:before="0" w:after="0"/>
        <w:outlineLvl w:val="0"/>
        <w:rPr>
          <w:rStyle w:val="Robust"/>
          <w:b w:val="0"/>
          <w:sz w:val="22"/>
          <w:szCs w:val="22"/>
        </w:rPr>
      </w:pPr>
      <w:r w:rsidRPr="00E35964">
        <w:rPr>
          <w:rStyle w:val="Robust"/>
          <w:sz w:val="22"/>
          <w:szCs w:val="22"/>
        </w:rPr>
        <w:t xml:space="preserve">Official name: </w:t>
      </w:r>
      <w:r w:rsidRPr="00E35964">
        <w:rPr>
          <w:lang w:eastAsia="en-GB"/>
        </w:rPr>
        <w:t xml:space="preserve">ISDS Special Objects 5101, 5102 -- </w:t>
      </w:r>
      <w:proofErr w:type="spellStart"/>
      <w:r w:rsidRPr="00E35964">
        <w:rPr>
          <w:lang w:eastAsia="en-GB"/>
        </w:rPr>
        <w:t>RWMCo</w:t>
      </w:r>
      <w:proofErr w:type="spellEnd"/>
      <w:r w:rsidRPr="00E35964">
        <w:rPr>
          <w:lang w:eastAsia="en-GB"/>
        </w:rPr>
        <w:t xml:space="preserve">, General Inspectorate for Emergency Situations (IGSU), Ministry of Internal Affairs of the Republic of Moldova </w:t>
      </w:r>
      <w:r w:rsidRPr="00E35964">
        <w:rPr>
          <w:rStyle w:val="Robust"/>
          <w:sz w:val="22"/>
          <w:szCs w:val="22"/>
        </w:rPr>
        <w:br/>
        <w:t>Postal address:</w:t>
      </w:r>
      <w:r w:rsidRPr="00E35964">
        <w:rPr>
          <w:rStyle w:val="Robust"/>
          <w:sz w:val="22"/>
          <w:szCs w:val="22"/>
        </w:rPr>
        <w:br/>
        <w:t xml:space="preserve">City: </w:t>
      </w:r>
      <w:proofErr w:type="spellStart"/>
      <w:r w:rsidRPr="00E35964">
        <w:rPr>
          <w:rStyle w:val="Robust"/>
          <w:sz w:val="22"/>
          <w:szCs w:val="22"/>
        </w:rPr>
        <w:t>mun</w:t>
      </w:r>
      <w:proofErr w:type="spellEnd"/>
      <w:r w:rsidRPr="00E35964">
        <w:rPr>
          <w:rStyle w:val="Robust"/>
          <w:sz w:val="22"/>
          <w:szCs w:val="22"/>
        </w:rPr>
        <w:t xml:space="preserve">. Chisinau, Moldova </w:t>
      </w:r>
    </w:p>
    <w:p w14:paraId="2FEA007B" w14:textId="77777777" w:rsidR="001930AF" w:rsidRDefault="00AC5E83" w:rsidP="00AC5E83">
      <w:pPr>
        <w:spacing w:before="0" w:after="0"/>
        <w:outlineLvl w:val="0"/>
        <w:rPr>
          <w:rStyle w:val="Robust"/>
          <w:sz w:val="22"/>
          <w:szCs w:val="22"/>
        </w:rPr>
      </w:pPr>
      <w:r w:rsidRPr="00E35964">
        <w:rPr>
          <w:rStyle w:val="Robust"/>
          <w:sz w:val="22"/>
          <w:szCs w:val="22"/>
        </w:rPr>
        <w:t xml:space="preserve">str. </w:t>
      </w:r>
      <w:proofErr w:type="spellStart"/>
      <w:r w:rsidRPr="00E35964">
        <w:rPr>
          <w:rStyle w:val="Robust"/>
          <w:sz w:val="22"/>
          <w:szCs w:val="22"/>
        </w:rPr>
        <w:t>Uzinelor</w:t>
      </w:r>
      <w:proofErr w:type="spellEnd"/>
      <w:r w:rsidRPr="00E35964">
        <w:rPr>
          <w:rStyle w:val="Robust"/>
          <w:sz w:val="22"/>
          <w:szCs w:val="22"/>
        </w:rPr>
        <w:t xml:space="preserve"> nr.210,</w:t>
      </w:r>
      <w:r w:rsidR="001930AF">
        <w:rPr>
          <w:rStyle w:val="Robust"/>
          <w:sz w:val="22"/>
          <w:szCs w:val="22"/>
        </w:rPr>
        <w:t xml:space="preserve"> </w:t>
      </w:r>
    </w:p>
    <w:p w14:paraId="086E19EF" w14:textId="2B484E08" w:rsidR="00AC5E83" w:rsidRPr="00E35964" w:rsidRDefault="00AC5E83" w:rsidP="00AC5E83">
      <w:pPr>
        <w:spacing w:before="0" w:after="0"/>
        <w:outlineLvl w:val="0"/>
        <w:rPr>
          <w:rStyle w:val="Robust"/>
          <w:sz w:val="22"/>
          <w:szCs w:val="22"/>
          <w:u w:val="single"/>
        </w:rPr>
      </w:pPr>
      <w:proofErr w:type="gramStart"/>
      <w:r w:rsidRPr="00E35964">
        <w:rPr>
          <w:rStyle w:val="Robust"/>
          <w:sz w:val="22"/>
          <w:szCs w:val="22"/>
        </w:rPr>
        <w:t>Postal</w:t>
      </w:r>
      <w:r w:rsidR="001930AF">
        <w:rPr>
          <w:rStyle w:val="Robust"/>
          <w:sz w:val="22"/>
          <w:szCs w:val="22"/>
        </w:rPr>
        <w:t xml:space="preserve"> </w:t>
      </w:r>
      <w:r w:rsidRPr="00E35964">
        <w:rPr>
          <w:rStyle w:val="Robust"/>
          <w:sz w:val="22"/>
          <w:szCs w:val="22"/>
        </w:rPr>
        <w:t xml:space="preserve"> code</w:t>
      </w:r>
      <w:proofErr w:type="gramEnd"/>
      <w:r w:rsidRPr="00E35964">
        <w:rPr>
          <w:rStyle w:val="Robust"/>
          <w:sz w:val="22"/>
          <w:szCs w:val="22"/>
        </w:rPr>
        <w:t>: MD -2037</w:t>
      </w:r>
      <w:r w:rsidR="001930AF">
        <w:rPr>
          <w:rStyle w:val="Robust"/>
          <w:sz w:val="22"/>
          <w:szCs w:val="22"/>
        </w:rPr>
        <w:t xml:space="preserve">, </w:t>
      </w:r>
      <w:r w:rsidRPr="00E35964">
        <w:rPr>
          <w:rStyle w:val="Robust"/>
          <w:sz w:val="22"/>
          <w:szCs w:val="22"/>
        </w:rPr>
        <w:t xml:space="preserve">E-mail: </w:t>
      </w:r>
      <w:r w:rsidRPr="00E35964">
        <w:rPr>
          <w:lang w:eastAsia="en-GB"/>
        </w:rPr>
        <w:t xml:space="preserve"> sf.os5101@igsu.gov.md </w:t>
      </w:r>
      <w:r w:rsidRPr="00E35964">
        <w:rPr>
          <w:rStyle w:val="Robust"/>
          <w:sz w:val="22"/>
          <w:szCs w:val="22"/>
        </w:rPr>
        <w:br/>
      </w:r>
      <w:proofErr w:type="spellStart"/>
      <w:r w:rsidRPr="00E35964">
        <w:rPr>
          <w:rStyle w:val="Robust"/>
          <w:sz w:val="22"/>
          <w:szCs w:val="22"/>
        </w:rPr>
        <w:t>tel</w:t>
      </w:r>
      <w:proofErr w:type="spellEnd"/>
      <w:r w:rsidRPr="00E35964">
        <w:rPr>
          <w:rStyle w:val="Robust"/>
          <w:sz w:val="22"/>
          <w:szCs w:val="22"/>
        </w:rPr>
        <w:t>: +</w:t>
      </w:r>
      <w:r w:rsidRPr="00E35964">
        <w:rPr>
          <w:lang w:eastAsia="en-GB"/>
        </w:rPr>
        <w:t>373 22 785158, +373 69104671</w:t>
      </w:r>
      <w:r w:rsidRPr="00E35964">
        <w:rPr>
          <w:rStyle w:val="Robust"/>
          <w:sz w:val="22"/>
          <w:szCs w:val="22"/>
          <w:u w:val="single"/>
        </w:rPr>
        <w:br/>
      </w:r>
    </w:p>
    <w:p w14:paraId="02E58BBE" w14:textId="139254A2" w:rsidR="00AC5E83" w:rsidRDefault="00AC5E83" w:rsidP="00AC5E83">
      <w:pPr>
        <w:outlineLvl w:val="0"/>
        <w:rPr>
          <w:rStyle w:val="Robust"/>
          <w:b w:val="0"/>
          <w:sz w:val="22"/>
          <w:szCs w:val="22"/>
          <w:lang w:val="en-GB"/>
        </w:rPr>
      </w:pPr>
      <w:r w:rsidRPr="00052A67">
        <w:rPr>
          <w:rStyle w:val="Robust"/>
          <w:sz w:val="22"/>
          <w:szCs w:val="22"/>
          <w:highlight w:val="lightGray"/>
          <w:u w:val="single"/>
        </w:rPr>
        <w:t xml:space="preserve">II.1.1) Title: </w:t>
      </w:r>
      <w:r w:rsidRPr="00052A67">
        <w:rPr>
          <w:rStyle w:val="Robust"/>
          <w:sz w:val="22"/>
          <w:szCs w:val="22"/>
          <w:highlight w:val="lightGray"/>
        </w:rPr>
        <w:br/>
      </w:r>
      <w:r w:rsidRPr="00052A67">
        <w:rPr>
          <w:rStyle w:val="Robust"/>
          <w:sz w:val="22"/>
          <w:szCs w:val="22"/>
          <w:highlight w:val="lightGray"/>
        </w:rPr>
        <w:br/>
      </w:r>
      <w:r w:rsidRPr="00E35964">
        <w:rPr>
          <w:rStyle w:val="Robust"/>
          <w:sz w:val="22"/>
          <w:szCs w:val="22"/>
        </w:rPr>
        <w:t>Construction of the intermediate storage facility for radioactive waste and radiological monitoring system</w:t>
      </w:r>
    </w:p>
    <w:p w14:paraId="3B2EA80E" w14:textId="77777777" w:rsidR="00AC5E83" w:rsidRPr="008F66E7" w:rsidRDefault="00AC5E83" w:rsidP="00AC5E83">
      <w:pPr>
        <w:outlineLvl w:val="0"/>
        <w:rPr>
          <w:rStyle w:val="Robust"/>
          <w:sz w:val="22"/>
          <w:szCs w:val="22"/>
          <w:u w:val="single"/>
          <w:lang w:val="en-GB"/>
        </w:rPr>
      </w:pPr>
      <w:r w:rsidRPr="008F66E7">
        <w:rPr>
          <w:rStyle w:val="Robust"/>
          <w:sz w:val="22"/>
          <w:szCs w:val="22"/>
          <w:u w:val="single"/>
        </w:rPr>
        <w:t>II.1.2) Main CPV code</w:t>
      </w:r>
      <w:r w:rsidRPr="008F66E7">
        <w:rPr>
          <w:rStyle w:val="Referinnotdesubsol"/>
          <w:b/>
          <w:sz w:val="22"/>
          <w:szCs w:val="22"/>
          <w:u w:val="single"/>
        </w:rPr>
        <w:footnoteReference w:id="1"/>
      </w:r>
      <w:r w:rsidRPr="008F66E7">
        <w:rPr>
          <w:rStyle w:val="Robust"/>
          <w:sz w:val="22"/>
          <w:szCs w:val="22"/>
          <w:u w:val="single"/>
        </w:rPr>
        <w:t xml:space="preserve"> </w:t>
      </w:r>
    </w:p>
    <w:p w14:paraId="07F1E520" w14:textId="6367736C" w:rsidR="00AC5E83" w:rsidRDefault="00AC5E83" w:rsidP="00AC5E83">
      <w:pPr>
        <w:outlineLvl w:val="0"/>
        <w:rPr>
          <w:rStyle w:val="Robust"/>
          <w:sz w:val="22"/>
          <w:szCs w:val="22"/>
        </w:rPr>
      </w:pPr>
      <w:r w:rsidRPr="00E35964">
        <w:rPr>
          <w:rStyle w:val="Robust"/>
          <w:sz w:val="22"/>
          <w:szCs w:val="22"/>
        </w:rPr>
        <w:t xml:space="preserve">45200000-9 </w:t>
      </w:r>
    </w:p>
    <w:p w14:paraId="65EFC468" w14:textId="77777777" w:rsidR="00AC5E83" w:rsidRPr="00D67F00" w:rsidRDefault="00AC5E83" w:rsidP="00AC5E83">
      <w:pPr>
        <w:outlineLvl w:val="0"/>
        <w:rPr>
          <w:rStyle w:val="Robust"/>
          <w:sz w:val="22"/>
          <w:szCs w:val="22"/>
          <w:u w:val="single"/>
          <w:lang w:val="en-GB"/>
        </w:rPr>
      </w:pPr>
      <w:r w:rsidRPr="00D67F00">
        <w:rPr>
          <w:rStyle w:val="Robust"/>
          <w:sz w:val="22"/>
          <w:szCs w:val="22"/>
          <w:u w:val="single"/>
        </w:rPr>
        <w:t>II.1.3) Type of contract</w:t>
      </w:r>
    </w:p>
    <w:p w14:paraId="3A4EA412" w14:textId="77777777" w:rsidR="00AC5E83" w:rsidRPr="008F66E7" w:rsidRDefault="00AC5E83" w:rsidP="00AC5E83">
      <w:pPr>
        <w:pStyle w:val="Blockquote"/>
        <w:ind w:left="0"/>
        <w:jc w:val="both"/>
        <w:rPr>
          <w:rStyle w:val="Robust"/>
          <w:b w:val="0"/>
          <w:i/>
          <w:sz w:val="22"/>
          <w:szCs w:val="22"/>
          <w:lang w:val="en-GB"/>
        </w:rPr>
      </w:pPr>
      <w:r w:rsidRPr="00E35964">
        <w:rPr>
          <w:rStyle w:val="Accentuat"/>
          <w:sz w:val="22"/>
          <w:szCs w:val="22"/>
        </w:rPr>
        <w:t xml:space="preserve">[Works] </w:t>
      </w:r>
    </w:p>
    <w:p w14:paraId="75F91BA8" w14:textId="77777777" w:rsidR="00AC5E83" w:rsidRPr="00D67F00" w:rsidRDefault="00AC5E83" w:rsidP="00AC5E83">
      <w:pPr>
        <w:spacing w:before="240" w:after="120"/>
        <w:outlineLvl w:val="0"/>
        <w:rPr>
          <w:rStyle w:val="Robust"/>
          <w:sz w:val="22"/>
          <w:szCs w:val="22"/>
          <w:u w:val="single"/>
          <w:lang w:val="en-GB"/>
        </w:rPr>
      </w:pPr>
      <w:r w:rsidRPr="00052A67">
        <w:rPr>
          <w:rStyle w:val="Robust"/>
          <w:sz w:val="22"/>
          <w:szCs w:val="22"/>
          <w:highlight w:val="lightGray"/>
          <w:u w:val="single"/>
        </w:rPr>
        <w:t>II.1.4) Brief description of the contract</w:t>
      </w:r>
    </w:p>
    <w:p w14:paraId="58E3B7FC" w14:textId="272487AD" w:rsidR="001A68EA" w:rsidRDefault="001A68EA" w:rsidP="00AC5E83">
      <w:pPr>
        <w:outlineLvl w:val="0"/>
        <w:rPr>
          <w:color w:val="0D0D0D"/>
          <w:shd w:val="clear" w:color="auto" w:fill="FFFFFF"/>
        </w:rPr>
      </w:pPr>
      <w:r w:rsidRPr="00790026">
        <w:rPr>
          <w:color w:val="0D0D0D"/>
          <w:shd w:val="clear" w:color="auto" w:fill="FFFFFF"/>
        </w:rPr>
        <w:t xml:space="preserve">The contract covers the </w:t>
      </w:r>
      <w:r w:rsidRPr="000A362A">
        <w:rPr>
          <w:b/>
          <w:bCs/>
          <w:color w:val="0D0D0D"/>
          <w:shd w:val="clear" w:color="auto" w:fill="FFFFFF"/>
        </w:rPr>
        <w:t>design finalization, construction, installation, and commissioning</w:t>
      </w:r>
      <w:r w:rsidRPr="000A362A">
        <w:rPr>
          <w:color w:val="0D0D0D"/>
          <w:shd w:val="clear" w:color="auto" w:fill="FFFFFF"/>
        </w:rPr>
        <w:t xml:space="preserve"> of an intermediate storage facility for packaged solid radioactive waste and an integrated Environmental and Radiation Monitoring System (ERMS) with Electrical Supply System (ESS) at the ISDS "</w:t>
      </w:r>
      <w:proofErr w:type="spellStart"/>
      <w:r w:rsidRPr="000A362A">
        <w:rPr>
          <w:color w:val="0D0D0D"/>
          <w:shd w:val="clear" w:color="auto" w:fill="FFFFFF"/>
        </w:rPr>
        <w:t>Obiectele</w:t>
      </w:r>
      <w:proofErr w:type="spellEnd"/>
      <w:r w:rsidRPr="000A362A">
        <w:rPr>
          <w:color w:val="0D0D0D"/>
          <w:shd w:val="clear" w:color="auto" w:fill="FFFFFF"/>
        </w:rPr>
        <w:t xml:space="preserve"> </w:t>
      </w:r>
      <w:proofErr w:type="spellStart"/>
      <w:r w:rsidRPr="000A362A">
        <w:rPr>
          <w:color w:val="0D0D0D"/>
          <w:shd w:val="clear" w:color="auto" w:fill="FFFFFF"/>
        </w:rPr>
        <w:t>Speciale</w:t>
      </w:r>
      <w:proofErr w:type="spellEnd"/>
      <w:r w:rsidRPr="000A362A">
        <w:rPr>
          <w:color w:val="0D0D0D"/>
          <w:shd w:val="clear" w:color="auto" w:fill="FFFFFF"/>
        </w:rPr>
        <w:t xml:space="preserve"> 5101, 5102" site in the Republic of Moldova</w:t>
      </w:r>
      <w:r>
        <w:rPr>
          <w:color w:val="0D0D0D"/>
          <w:shd w:val="clear" w:color="auto" w:fill="FFFFFF"/>
        </w:rPr>
        <w:t>.</w:t>
      </w:r>
    </w:p>
    <w:p w14:paraId="5D92F636" w14:textId="77777777" w:rsidR="001A68EA" w:rsidRPr="00E61ED7" w:rsidRDefault="001A68EA" w:rsidP="001A68EA">
      <w:pPr>
        <w:spacing w:before="0" w:after="0"/>
        <w:outlineLvl w:val="0"/>
        <w:rPr>
          <w:sz w:val="22"/>
          <w:szCs w:val="22"/>
        </w:rPr>
      </w:pPr>
      <w:r w:rsidRPr="00E61ED7">
        <w:rPr>
          <w:sz w:val="22"/>
          <w:szCs w:val="22"/>
        </w:rPr>
        <w:t>Key Project Components:</w:t>
      </w:r>
    </w:p>
    <w:p w14:paraId="69FC6E53" w14:textId="77777777" w:rsidR="001A68EA" w:rsidRPr="00E61ED7" w:rsidRDefault="001A68EA" w:rsidP="001A68EA">
      <w:pPr>
        <w:spacing w:before="0" w:after="0"/>
        <w:outlineLvl w:val="0"/>
        <w:rPr>
          <w:sz w:val="22"/>
          <w:szCs w:val="22"/>
        </w:rPr>
      </w:pPr>
      <w:r w:rsidRPr="00E61ED7">
        <w:rPr>
          <w:sz w:val="22"/>
          <w:szCs w:val="22"/>
        </w:rPr>
        <w:t>1. Design Development Phase:</w:t>
      </w:r>
    </w:p>
    <w:p w14:paraId="142157E6" w14:textId="77777777" w:rsidR="001A68EA" w:rsidRPr="00E61ED7" w:rsidRDefault="001A68EA" w:rsidP="00146E34">
      <w:pPr>
        <w:numPr>
          <w:ilvl w:val="0"/>
          <w:numId w:val="4"/>
        </w:numPr>
        <w:spacing w:before="0" w:after="0"/>
        <w:outlineLvl w:val="0"/>
        <w:rPr>
          <w:sz w:val="22"/>
          <w:szCs w:val="22"/>
        </w:rPr>
      </w:pPr>
      <w:r w:rsidRPr="00E61ED7">
        <w:rPr>
          <w:sz w:val="22"/>
          <w:szCs w:val="22"/>
        </w:rPr>
        <w:t>Verification and gap analysis of provided conceptual technical designs</w:t>
      </w:r>
    </w:p>
    <w:p w14:paraId="5E35BBB0" w14:textId="77777777" w:rsidR="001A68EA" w:rsidRPr="00E61ED7" w:rsidRDefault="001A68EA" w:rsidP="00146E34">
      <w:pPr>
        <w:numPr>
          <w:ilvl w:val="0"/>
          <w:numId w:val="4"/>
        </w:numPr>
        <w:spacing w:before="0" w:after="0"/>
        <w:outlineLvl w:val="0"/>
        <w:rPr>
          <w:sz w:val="22"/>
          <w:szCs w:val="22"/>
        </w:rPr>
      </w:pPr>
      <w:r w:rsidRPr="00E61ED7">
        <w:rPr>
          <w:sz w:val="22"/>
          <w:szCs w:val="22"/>
        </w:rPr>
        <w:t>Finalization of detailed designs adapted to Moldovan standards (</w:t>
      </w:r>
      <w:proofErr w:type="spellStart"/>
      <w:r w:rsidRPr="00E61ED7">
        <w:rPr>
          <w:sz w:val="22"/>
          <w:szCs w:val="22"/>
        </w:rPr>
        <w:t>SNiP</w:t>
      </w:r>
      <w:proofErr w:type="spellEnd"/>
      <w:r w:rsidRPr="00E61ED7">
        <w:rPr>
          <w:sz w:val="22"/>
          <w:szCs w:val="22"/>
        </w:rPr>
        <w:t>, NCM, CP)</w:t>
      </w:r>
    </w:p>
    <w:p w14:paraId="4E6E446D" w14:textId="77777777" w:rsidR="001A68EA" w:rsidRPr="00E61ED7" w:rsidRDefault="001A68EA" w:rsidP="00146E34">
      <w:pPr>
        <w:numPr>
          <w:ilvl w:val="0"/>
          <w:numId w:val="4"/>
        </w:numPr>
        <w:spacing w:before="0" w:after="0"/>
        <w:outlineLvl w:val="0"/>
        <w:rPr>
          <w:sz w:val="22"/>
          <w:szCs w:val="22"/>
        </w:rPr>
      </w:pPr>
      <w:r w:rsidRPr="00E61ED7">
        <w:rPr>
          <w:sz w:val="22"/>
          <w:szCs w:val="22"/>
        </w:rPr>
        <w:t>Independent verification by certified Moldovan experts</w:t>
      </w:r>
    </w:p>
    <w:p w14:paraId="7743DC3E" w14:textId="77777777" w:rsidR="001A68EA" w:rsidRPr="00E61ED7" w:rsidRDefault="001A68EA" w:rsidP="00146E34">
      <w:pPr>
        <w:numPr>
          <w:ilvl w:val="0"/>
          <w:numId w:val="4"/>
        </w:numPr>
        <w:spacing w:before="0" w:after="0"/>
        <w:outlineLvl w:val="0"/>
        <w:rPr>
          <w:sz w:val="22"/>
          <w:szCs w:val="22"/>
        </w:rPr>
      </w:pPr>
      <w:r w:rsidRPr="00E61ED7">
        <w:rPr>
          <w:sz w:val="22"/>
          <w:szCs w:val="22"/>
        </w:rPr>
        <w:t>Preparation of construction authorization documentation</w:t>
      </w:r>
    </w:p>
    <w:p w14:paraId="01651DC7" w14:textId="77777777" w:rsidR="001A68EA" w:rsidRPr="00E61ED7" w:rsidRDefault="001A68EA" w:rsidP="001A68EA">
      <w:pPr>
        <w:spacing w:before="0" w:after="0"/>
        <w:outlineLvl w:val="0"/>
        <w:rPr>
          <w:sz w:val="22"/>
          <w:szCs w:val="22"/>
        </w:rPr>
      </w:pPr>
      <w:r w:rsidRPr="00E61ED7">
        <w:rPr>
          <w:sz w:val="22"/>
          <w:szCs w:val="22"/>
        </w:rPr>
        <w:t>2. Storage Facility:</w:t>
      </w:r>
    </w:p>
    <w:p w14:paraId="1F341A76" w14:textId="77777777" w:rsidR="001A68EA" w:rsidRPr="00E61ED7" w:rsidRDefault="001A68EA" w:rsidP="00146E34">
      <w:pPr>
        <w:numPr>
          <w:ilvl w:val="0"/>
          <w:numId w:val="5"/>
        </w:numPr>
        <w:spacing w:before="0" w:after="0"/>
        <w:outlineLvl w:val="0"/>
        <w:rPr>
          <w:sz w:val="22"/>
          <w:szCs w:val="22"/>
        </w:rPr>
      </w:pPr>
      <w:r w:rsidRPr="00E61ED7">
        <w:rPr>
          <w:sz w:val="22"/>
          <w:szCs w:val="22"/>
        </w:rPr>
        <w:t>Above-ground storage building (18.85m x 44.30m, height 11.75m storage area)</w:t>
      </w:r>
    </w:p>
    <w:p w14:paraId="2CE7D911" w14:textId="77777777" w:rsidR="001A68EA" w:rsidRPr="00E61ED7" w:rsidRDefault="001A68EA" w:rsidP="00146E34">
      <w:pPr>
        <w:numPr>
          <w:ilvl w:val="0"/>
          <w:numId w:val="5"/>
        </w:numPr>
        <w:spacing w:before="0" w:after="0"/>
        <w:outlineLvl w:val="0"/>
        <w:rPr>
          <w:sz w:val="22"/>
          <w:szCs w:val="22"/>
        </w:rPr>
      </w:pPr>
      <w:r w:rsidRPr="00E61ED7">
        <w:rPr>
          <w:sz w:val="22"/>
          <w:szCs w:val="22"/>
        </w:rPr>
        <w:t>Storage capacity: 576 x 220L drums, 144 x 420L drums, 30 x 1m³ containers</w:t>
      </w:r>
    </w:p>
    <w:p w14:paraId="557F28FE" w14:textId="77777777" w:rsidR="001A68EA" w:rsidRPr="00E61ED7" w:rsidRDefault="001A68EA" w:rsidP="00146E34">
      <w:pPr>
        <w:numPr>
          <w:ilvl w:val="0"/>
          <w:numId w:val="5"/>
        </w:numPr>
        <w:spacing w:before="0" w:after="0"/>
        <w:outlineLvl w:val="0"/>
        <w:rPr>
          <w:sz w:val="22"/>
          <w:szCs w:val="22"/>
        </w:rPr>
      </w:pPr>
      <w:r w:rsidRPr="00E61ED7">
        <w:rPr>
          <w:sz w:val="22"/>
          <w:szCs w:val="22"/>
        </w:rPr>
        <w:t>Ventilation system (4 air changes/hour)</w:t>
      </w:r>
    </w:p>
    <w:p w14:paraId="0A54893B" w14:textId="77777777" w:rsidR="001A68EA" w:rsidRPr="00E61ED7" w:rsidRDefault="001A68EA" w:rsidP="00146E34">
      <w:pPr>
        <w:numPr>
          <w:ilvl w:val="0"/>
          <w:numId w:val="5"/>
        </w:numPr>
        <w:spacing w:before="0" w:after="0"/>
        <w:outlineLvl w:val="0"/>
        <w:rPr>
          <w:sz w:val="22"/>
          <w:szCs w:val="22"/>
        </w:rPr>
      </w:pPr>
      <w:r w:rsidRPr="00E61ED7">
        <w:rPr>
          <w:sz w:val="22"/>
          <w:szCs w:val="22"/>
        </w:rPr>
        <w:t>Gantry crane and waste package handling equipment</w:t>
      </w:r>
    </w:p>
    <w:p w14:paraId="68215C45" w14:textId="77777777" w:rsidR="001A68EA" w:rsidRPr="00E61ED7" w:rsidRDefault="001A68EA" w:rsidP="00146E34">
      <w:pPr>
        <w:numPr>
          <w:ilvl w:val="0"/>
          <w:numId w:val="5"/>
        </w:numPr>
        <w:spacing w:before="0" w:after="0"/>
        <w:outlineLvl w:val="0"/>
        <w:rPr>
          <w:sz w:val="22"/>
          <w:szCs w:val="22"/>
        </w:rPr>
      </w:pPr>
      <w:r w:rsidRPr="00E61ED7">
        <w:rPr>
          <w:sz w:val="22"/>
          <w:szCs w:val="22"/>
        </w:rPr>
        <w:lastRenderedPageBreak/>
        <w:t>Water supply and potentially radioactive effluent drainage systems</w:t>
      </w:r>
    </w:p>
    <w:p w14:paraId="62DDB9FA" w14:textId="77777777" w:rsidR="001A68EA" w:rsidRPr="00E61ED7" w:rsidRDefault="001A68EA" w:rsidP="00146E34">
      <w:pPr>
        <w:numPr>
          <w:ilvl w:val="0"/>
          <w:numId w:val="5"/>
        </w:numPr>
        <w:spacing w:before="0" w:after="0"/>
        <w:outlineLvl w:val="0"/>
        <w:rPr>
          <w:sz w:val="22"/>
          <w:szCs w:val="22"/>
        </w:rPr>
      </w:pPr>
      <w:r w:rsidRPr="00E61ED7">
        <w:rPr>
          <w:sz w:val="22"/>
          <w:szCs w:val="22"/>
        </w:rPr>
        <w:t>Electrical systems and automation</w:t>
      </w:r>
    </w:p>
    <w:p w14:paraId="6F348FC6" w14:textId="77777777" w:rsidR="001A68EA" w:rsidRPr="00E61ED7" w:rsidRDefault="001A68EA" w:rsidP="00146E34">
      <w:pPr>
        <w:numPr>
          <w:ilvl w:val="0"/>
          <w:numId w:val="5"/>
        </w:numPr>
        <w:spacing w:before="0" w:after="0"/>
        <w:outlineLvl w:val="0"/>
        <w:rPr>
          <w:sz w:val="22"/>
          <w:szCs w:val="22"/>
        </w:rPr>
      </w:pPr>
      <w:r w:rsidRPr="00E61ED7">
        <w:rPr>
          <w:sz w:val="22"/>
          <w:szCs w:val="22"/>
        </w:rPr>
        <w:t>Low voltage systems (fire detection, access control, intrusion detection)</w:t>
      </w:r>
    </w:p>
    <w:p w14:paraId="4E7C849B" w14:textId="77777777" w:rsidR="001A68EA" w:rsidRPr="00E61ED7" w:rsidRDefault="001A68EA" w:rsidP="00146E34">
      <w:pPr>
        <w:numPr>
          <w:ilvl w:val="0"/>
          <w:numId w:val="5"/>
        </w:numPr>
        <w:spacing w:before="0" w:after="0"/>
        <w:outlineLvl w:val="0"/>
        <w:rPr>
          <w:sz w:val="22"/>
          <w:szCs w:val="22"/>
        </w:rPr>
      </w:pPr>
      <w:r w:rsidRPr="00E61ED7">
        <w:rPr>
          <w:sz w:val="22"/>
          <w:szCs w:val="22"/>
        </w:rPr>
        <w:t>Radiation monitoring system</w:t>
      </w:r>
    </w:p>
    <w:p w14:paraId="19F81AE2" w14:textId="77777777" w:rsidR="001A68EA" w:rsidRPr="00E61ED7" w:rsidRDefault="001A68EA" w:rsidP="00146E34">
      <w:pPr>
        <w:numPr>
          <w:ilvl w:val="0"/>
          <w:numId w:val="5"/>
        </w:numPr>
        <w:spacing w:before="0" w:after="0"/>
        <w:outlineLvl w:val="0"/>
        <w:rPr>
          <w:sz w:val="22"/>
          <w:szCs w:val="22"/>
        </w:rPr>
      </w:pPr>
      <w:r w:rsidRPr="00E61ED7">
        <w:rPr>
          <w:sz w:val="22"/>
          <w:szCs w:val="22"/>
        </w:rPr>
        <w:t>Fire protection system</w:t>
      </w:r>
    </w:p>
    <w:p w14:paraId="5E2C0B25" w14:textId="77777777" w:rsidR="001A68EA" w:rsidRPr="00E61ED7" w:rsidRDefault="001A68EA" w:rsidP="001A68EA">
      <w:pPr>
        <w:spacing w:before="0" w:after="0"/>
        <w:outlineLvl w:val="0"/>
        <w:rPr>
          <w:sz w:val="22"/>
          <w:szCs w:val="22"/>
        </w:rPr>
      </w:pPr>
      <w:r w:rsidRPr="00E61ED7">
        <w:rPr>
          <w:sz w:val="22"/>
          <w:szCs w:val="22"/>
        </w:rPr>
        <w:t>3. Environmental and Radiation Monitoring System (ERMS):</w:t>
      </w:r>
    </w:p>
    <w:p w14:paraId="5AB46960" w14:textId="77777777" w:rsidR="001A68EA" w:rsidRPr="00E61ED7" w:rsidRDefault="001A68EA" w:rsidP="00146E34">
      <w:pPr>
        <w:numPr>
          <w:ilvl w:val="0"/>
          <w:numId w:val="6"/>
        </w:numPr>
        <w:spacing w:before="0" w:after="0"/>
        <w:outlineLvl w:val="0"/>
        <w:rPr>
          <w:sz w:val="22"/>
          <w:szCs w:val="22"/>
        </w:rPr>
      </w:pPr>
      <w:r w:rsidRPr="00E61ED7">
        <w:rPr>
          <w:sz w:val="22"/>
          <w:szCs w:val="22"/>
        </w:rPr>
        <w:t>Workplace monitoring equipment (portable and installed)</w:t>
      </w:r>
    </w:p>
    <w:p w14:paraId="563B6708" w14:textId="77777777" w:rsidR="001A68EA" w:rsidRPr="00E61ED7" w:rsidRDefault="001A68EA" w:rsidP="00146E34">
      <w:pPr>
        <w:numPr>
          <w:ilvl w:val="0"/>
          <w:numId w:val="6"/>
        </w:numPr>
        <w:spacing w:before="0" w:after="0"/>
        <w:outlineLvl w:val="0"/>
        <w:rPr>
          <w:sz w:val="22"/>
          <w:szCs w:val="22"/>
        </w:rPr>
      </w:pPr>
      <w:r w:rsidRPr="00E61ED7">
        <w:rPr>
          <w:sz w:val="22"/>
          <w:szCs w:val="22"/>
        </w:rPr>
        <w:t>Liquid discharge monitoring system</w:t>
      </w:r>
    </w:p>
    <w:p w14:paraId="3FEC91F8" w14:textId="77777777" w:rsidR="001A68EA" w:rsidRPr="00E61ED7" w:rsidRDefault="001A68EA" w:rsidP="00146E34">
      <w:pPr>
        <w:numPr>
          <w:ilvl w:val="0"/>
          <w:numId w:val="6"/>
        </w:numPr>
        <w:spacing w:before="0" w:after="0"/>
        <w:outlineLvl w:val="0"/>
        <w:rPr>
          <w:sz w:val="22"/>
          <w:szCs w:val="22"/>
        </w:rPr>
      </w:pPr>
      <w:r w:rsidRPr="00E61ED7">
        <w:rPr>
          <w:sz w:val="22"/>
          <w:szCs w:val="22"/>
        </w:rPr>
        <w:t>Gaseous discharge monitoring system (aerosol sampling)</w:t>
      </w:r>
    </w:p>
    <w:p w14:paraId="71A8BECB" w14:textId="77777777" w:rsidR="001A68EA" w:rsidRPr="00E61ED7" w:rsidRDefault="001A68EA" w:rsidP="00146E34">
      <w:pPr>
        <w:numPr>
          <w:ilvl w:val="0"/>
          <w:numId w:val="6"/>
        </w:numPr>
        <w:spacing w:before="0" w:after="0"/>
        <w:outlineLvl w:val="0"/>
        <w:rPr>
          <w:sz w:val="22"/>
          <w:szCs w:val="22"/>
        </w:rPr>
      </w:pPr>
      <w:r w:rsidRPr="00E61ED7">
        <w:rPr>
          <w:sz w:val="22"/>
          <w:szCs w:val="22"/>
        </w:rPr>
        <w:t>Environmental monitoring (soil, water, vegetation, groundwater analysis)</w:t>
      </w:r>
    </w:p>
    <w:p w14:paraId="71AC5A91" w14:textId="77777777" w:rsidR="001A68EA" w:rsidRPr="00E61ED7" w:rsidRDefault="001A68EA" w:rsidP="00146E34">
      <w:pPr>
        <w:numPr>
          <w:ilvl w:val="0"/>
          <w:numId w:val="6"/>
        </w:numPr>
        <w:spacing w:before="0" w:after="0"/>
        <w:outlineLvl w:val="0"/>
        <w:rPr>
          <w:sz w:val="22"/>
          <w:szCs w:val="22"/>
        </w:rPr>
      </w:pPr>
      <w:r w:rsidRPr="00E61ED7">
        <w:rPr>
          <w:sz w:val="22"/>
          <w:szCs w:val="22"/>
        </w:rPr>
        <w:t>Data recording and management system (RMS)</w:t>
      </w:r>
    </w:p>
    <w:p w14:paraId="7C1B715F" w14:textId="77777777" w:rsidR="001A68EA" w:rsidRPr="00E61ED7" w:rsidRDefault="001A68EA" w:rsidP="00146E34">
      <w:pPr>
        <w:numPr>
          <w:ilvl w:val="0"/>
          <w:numId w:val="6"/>
        </w:numPr>
        <w:spacing w:before="0" w:after="0"/>
        <w:outlineLvl w:val="0"/>
        <w:rPr>
          <w:sz w:val="22"/>
          <w:szCs w:val="22"/>
        </w:rPr>
      </w:pPr>
      <w:r w:rsidRPr="00E61ED7">
        <w:rPr>
          <w:sz w:val="22"/>
          <w:szCs w:val="22"/>
        </w:rPr>
        <w:t>Laboratory equipment for radiological analysis</w:t>
      </w:r>
    </w:p>
    <w:p w14:paraId="43D93DBA" w14:textId="77777777" w:rsidR="001A68EA" w:rsidRPr="00E61ED7" w:rsidRDefault="001A68EA" w:rsidP="001A68EA">
      <w:pPr>
        <w:spacing w:before="0" w:after="0"/>
        <w:outlineLvl w:val="0"/>
        <w:rPr>
          <w:sz w:val="22"/>
          <w:szCs w:val="22"/>
        </w:rPr>
      </w:pPr>
      <w:r w:rsidRPr="00E61ED7">
        <w:rPr>
          <w:sz w:val="22"/>
          <w:szCs w:val="22"/>
        </w:rPr>
        <w:t>4. Electrical Supply System (ESS):</w:t>
      </w:r>
    </w:p>
    <w:p w14:paraId="0021D7EC" w14:textId="77777777" w:rsidR="001A68EA" w:rsidRPr="00E61ED7" w:rsidRDefault="001A68EA" w:rsidP="00146E34">
      <w:pPr>
        <w:numPr>
          <w:ilvl w:val="0"/>
          <w:numId w:val="7"/>
        </w:numPr>
        <w:spacing w:before="0" w:after="0"/>
        <w:outlineLvl w:val="0"/>
        <w:rPr>
          <w:sz w:val="22"/>
          <w:szCs w:val="22"/>
        </w:rPr>
      </w:pPr>
      <w:r w:rsidRPr="00E61ED7">
        <w:rPr>
          <w:sz w:val="22"/>
          <w:szCs w:val="22"/>
        </w:rPr>
        <w:t>Power supply to Storage Facility, Treatment building, Containment building, Sanitary gate</w:t>
      </w:r>
    </w:p>
    <w:p w14:paraId="2D6539EC" w14:textId="77777777" w:rsidR="001A68EA" w:rsidRPr="00E61ED7" w:rsidRDefault="001A68EA" w:rsidP="001A68EA">
      <w:pPr>
        <w:spacing w:before="0" w:after="0"/>
        <w:outlineLvl w:val="0"/>
        <w:rPr>
          <w:sz w:val="22"/>
          <w:szCs w:val="22"/>
        </w:rPr>
      </w:pPr>
      <w:r w:rsidRPr="00E61ED7">
        <w:rPr>
          <w:sz w:val="22"/>
          <w:szCs w:val="22"/>
        </w:rPr>
        <w:t>5. Construction Authorization Support:</w:t>
      </w:r>
    </w:p>
    <w:p w14:paraId="1F6BEDA0" w14:textId="77777777" w:rsidR="001A68EA" w:rsidRPr="00E61ED7" w:rsidRDefault="001A68EA" w:rsidP="00146E34">
      <w:pPr>
        <w:numPr>
          <w:ilvl w:val="0"/>
          <w:numId w:val="8"/>
        </w:numPr>
        <w:spacing w:before="0" w:after="0"/>
        <w:outlineLvl w:val="0"/>
        <w:rPr>
          <w:sz w:val="22"/>
          <w:szCs w:val="22"/>
        </w:rPr>
      </w:pPr>
      <w:r w:rsidRPr="00E61ED7">
        <w:rPr>
          <w:sz w:val="22"/>
          <w:szCs w:val="22"/>
        </w:rPr>
        <w:t>Support Beneficiary to obtain construction authorization from NARNRA</w:t>
      </w:r>
    </w:p>
    <w:p w14:paraId="0A87E1A7" w14:textId="77777777" w:rsidR="001A68EA" w:rsidRPr="00E61ED7" w:rsidRDefault="001A68EA" w:rsidP="00146E34">
      <w:pPr>
        <w:numPr>
          <w:ilvl w:val="0"/>
          <w:numId w:val="8"/>
        </w:numPr>
        <w:spacing w:before="0" w:after="0"/>
        <w:outlineLvl w:val="0"/>
        <w:rPr>
          <w:sz w:val="22"/>
          <w:szCs w:val="22"/>
        </w:rPr>
      </w:pPr>
      <w:r w:rsidRPr="00E61ED7">
        <w:rPr>
          <w:sz w:val="22"/>
          <w:szCs w:val="22"/>
        </w:rPr>
        <w:t>Preparation of all regulatory documentation</w:t>
      </w:r>
    </w:p>
    <w:p w14:paraId="19E884EF" w14:textId="77777777" w:rsidR="001A68EA" w:rsidRPr="00E61ED7" w:rsidRDefault="001A68EA" w:rsidP="00146E34">
      <w:pPr>
        <w:numPr>
          <w:ilvl w:val="0"/>
          <w:numId w:val="8"/>
        </w:numPr>
        <w:spacing w:before="0" w:after="0"/>
        <w:outlineLvl w:val="0"/>
        <w:rPr>
          <w:sz w:val="22"/>
          <w:szCs w:val="22"/>
        </w:rPr>
      </w:pPr>
      <w:r w:rsidRPr="00E61ED7">
        <w:rPr>
          <w:sz w:val="22"/>
          <w:szCs w:val="22"/>
        </w:rPr>
        <w:t>Response to authority technical questions</w:t>
      </w:r>
    </w:p>
    <w:p w14:paraId="08408052" w14:textId="77777777" w:rsidR="001A68EA" w:rsidRPr="00E61ED7" w:rsidRDefault="001A68EA" w:rsidP="00146E34">
      <w:pPr>
        <w:numPr>
          <w:ilvl w:val="0"/>
          <w:numId w:val="8"/>
        </w:numPr>
        <w:spacing w:before="0" w:after="0"/>
        <w:outlineLvl w:val="0"/>
        <w:rPr>
          <w:sz w:val="22"/>
          <w:szCs w:val="22"/>
        </w:rPr>
      </w:pPr>
      <w:r w:rsidRPr="00E61ED7">
        <w:rPr>
          <w:sz w:val="22"/>
          <w:szCs w:val="22"/>
        </w:rPr>
        <w:t>Documentation updates as required</w:t>
      </w:r>
    </w:p>
    <w:p w14:paraId="2D8785CF" w14:textId="77777777" w:rsidR="001A68EA" w:rsidRPr="00E61ED7" w:rsidRDefault="001A68EA" w:rsidP="001A68EA">
      <w:pPr>
        <w:spacing w:before="0" w:after="0"/>
        <w:outlineLvl w:val="0"/>
        <w:rPr>
          <w:sz w:val="22"/>
          <w:szCs w:val="22"/>
        </w:rPr>
      </w:pPr>
      <w:r w:rsidRPr="00E61ED7">
        <w:rPr>
          <w:sz w:val="22"/>
          <w:szCs w:val="22"/>
        </w:rPr>
        <w:t>6. Commissioning and Handover:</w:t>
      </w:r>
    </w:p>
    <w:p w14:paraId="43251CA2" w14:textId="77777777" w:rsidR="001A68EA" w:rsidRPr="00E61ED7" w:rsidRDefault="001A68EA" w:rsidP="00146E34">
      <w:pPr>
        <w:numPr>
          <w:ilvl w:val="0"/>
          <w:numId w:val="9"/>
        </w:numPr>
        <w:spacing w:before="0" w:after="0"/>
        <w:outlineLvl w:val="0"/>
        <w:rPr>
          <w:sz w:val="22"/>
          <w:szCs w:val="22"/>
        </w:rPr>
      </w:pPr>
      <w:r w:rsidRPr="00E61ED7">
        <w:rPr>
          <w:sz w:val="22"/>
          <w:szCs w:val="22"/>
        </w:rPr>
        <w:t>Testing and commissioning of all systems</w:t>
      </w:r>
    </w:p>
    <w:p w14:paraId="01C842CE" w14:textId="77777777" w:rsidR="001A68EA" w:rsidRPr="00E61ED7" w:rsidRDefault="001A68EA" w:rsidP="00146E34">
      <w:pPr>
        <w:numPr>
          <w:ilvl w:val="0"/>
          <w:numId w:val="9"/>
        </w:numPr>
        <w:spacing w:before="0" w:after="0"/>
        <w:outlineLvl w:val="0"/>
        <w:rPr>
          <w:sz w:val="22"/>
          <w:szCs w:val="22"/>
        </w:rPr>
      </w:pPr>
      <w:r w:rsidRPr="00E61ED7">
        <w:rPr>
          <w:sz w:val="22"/>
          <w:szCs w:val="22"/>
        </w:rPr>
        <w:t>Training of Beneficiary staff</w:t>
      </w:r>
    </w:p>
    <w:p w14:paraId="7AB7850A" w14:textId="77777777" w:rsidR="001A68EA" w:rsidRPr="00E61ED7" w:rsidRDefault="001A68EA" w:rsidP="00146E34">
      <w:pPr>
        <w:numPr>
          <w:ilvl w:val="0"/>
          <w:numId w:val="9"/>
        </w:numPr>
        <w:spacing w:before="0" w:after="0"/>
        <w:outlineLvl w:val="0"/>
        <w:rPr>
          <w:sz w:val="22"/>
          <w:szCs w:val="22"/>
        </w:rPr>
      </w:pPr>
      <w:r w:rsidRPr="00E61ED7">
        <w:rPr>
          <w:sz w:val="22"/>
          <w:szCs w:val="22"/>
        </w:rPr>
        <w:t>Development of operational manuals and procedures</w:t>
      </w:r>
    </w:p>
    <w:p w14:paraId="6D77D747" w14:textId="77777777" w:rsidR="001A68EA" w:rsidRPr="00E61ED7" w:rsidRDefault="001A68EA" w:rsidP="00146E34">
      <w:pPr>
        <w:numPr>
          <w:ilvl w:val="0"/>
          <w:numId w:val="9"/>
        </w:numPr>
        <w:spacing w:before="0" w:after="0"/>
        <w:outlineLvl w:val="0"/>
        <w:rPr>
          <w:sz w:val="22"/>
          <w:szCs w:val="22"/>
        </w:rPr>
      </w:pPr>
      <w:r w:rsidRPr="00E61ED7">
        <w:rPr>
          <w:sz w:val="22"/>
          <w:szCs w:val="22"/>
        </w:rPr>
        <w:t>Project closure and handover</w:t>
      </w:r>
    </w:p>
    <w:p w14:paraId="17244D86" w14:textId="77777777" w:rsidR="001A68EA" w:rsidRPr="000A362A" w:rsidRDefault="001A68EA" w:rsidP="00146E34">
      <w:pPr>
        <w:widowControl/>
        <w:numPr>
          <w:ilvl w:val="0"/>
          <w:numId w:val="9"/>
        </w:numPr>
        <w:spacing w:beforeAutospacing="1" w:afterAutospacing="1"/>
        <w:rPr>
          <w:snapToGrid/>
          <w:szCs w:val="24"/>
        </w:rPr>
      </w:pPr>
      <w:r w:rsidRPr="00E61ED7">
        <w:rPr>
          <w:b/>
          <w:bCs/>
          <w:snapToGrid/>
          <w:szCs w:val="24"/>
        </w:rPr>
        <w:t>CRITICAL INFRASTRUCTURE:</w:t>
      </w:r>
      <w:r w:rsidRPr="00E61ED7">
        <w:rPr>
          <w:snapToGrid/>
          <w:szCs w:val="24"/>
        </w:rPr>
        <w:t xml:space="preserve"> This facility</w:t>
      </w:r>
      <w:r w:rsidRPr="000A362A">
        <w:rPr>
          <w:snapToGrid/>
          <w:szCs w:val="24"/>
        </w:rPr>
        <w:t xml:space="preserve"> is classified as critical infrastructure under Law No. 245/2008 on State Secrecy and requires special security measures throughout procurement, construction, and operation.</w:t>
      </w:r>
    </w:p>
    <w:p w14:paraId="3F75CDDE" w14:textId="17D2EAAC" w:rsidR="001A68EA" w:rsidRPr="001A68EA" w:rsidRDefault="001A68EA" w:rsidP="00146E34">
      <w:pPr>
        <w:widowControl/>
        <w:numPr>
          <w:ilvl w:val="0"/>
          <w:numId w:val="9"/>
        </w:numPr>
        <w:spacing w:beforeAutospacing="1" w:afterAutospacing="1"/>
        <w:rPr>
          <w:snapToGrid/>
          <w:szCs w:val="24"/>
        </w:rPr>
      </w:pPr>
      <w:r w:rsidRPr="000A362A">
        <w:rPr>
          <w:b/>
          <w:bCs/>
          <w:snapToGrid/>
          <w:szCs w:val="24"/>
        </w:rPr>
        <w:t>DESIGN-BUILD APPROACH:</w:t>
      </w:r>
      <w:r w:rsidRPr="000A362A">
        <w:rPr>
          <w:snapToGrid/>
          <w:szCs w:val="24"/>
        </w:rPr>
        <w:t xml:space="preserve"> Contractor is responsible for design verification, finalization, and adaptation of provided conceptual designs to develop construction-ready documentation meeting Moldovan standards and NARNRA requirements.</w:t>
      </w:r>
    </w:p>
    <w:p w14:paraId="3184C8AB" w14:textId="65390E3A" w:rsidR="00AC5E83" w:rsidRPr="00D67F00" w:rsidRDefault="00AC5E83" w:rsidP="00AC5E83">
      <w:pPr>
        <w:outlineLvl w:val="0"/>
        <w:rPr>
          <w:rStyle w:val="Robust"/>
          <w:sz w:val="22"/>
          <w:szCs w:val="22"/>
          <w:u w:val="single"/>
          <w:lang w:val="en-GB"/>
        </w:rPr>
      </w:pPr>
      <w:r w:rsidRPr="00052A67">
        <w:rPr>
          <w:rStyle w:val="Robust"/>
          <w:sz w:val="22"/>
          <w:szCs w:val="22"/>
          <w:highlight w:val="lightGray"/>
        </w:rPr>
        <w:br/>
      </w:r>
      <w:r w:rsidRPr="00D67F00">
        <w:rPr>
          <w:rStyle w:val="Robust"/>
          <w:sz w:val="22"/>
          <w:szCs w:val="22"/>
          <w:u w:val="single"/>
        </w:rPr>
        <w:t>II.1.5) Total estimated value</w:t>
      </w:r>
    </w:p>
    <w:p w14:paraId="4E130E67" w14:textId="6FC57BED" w:rsidR="00AC5E83" w:rsidRDefault="00AC5E83" w:rsidP="00AC5E83">
      <w:pPr>
        <w:outlineLvl w:val="0"/>
        <w:rPr>
          <w:sz w:val="22"/>
          <w:szCs w:val="22"/>
        </w:rPr>
      </w:pPr>
      <w:r w:rsidRPr="00E35964">
        <w:rPr>
          <w:sz w:val="22"/>
          <w:szCs w:val="22"/>
        </w:rPr>
        <w:t>Value without VAT: 2 595 071,00 Currency: EURO</w:t>
      </w:r>
      <w:bookmarkStart w:id="0" w:name="_GoBack"/>
      <w:bookmarkEnd w:id="0"/>
    </w:p>
    <w:p w14:paraId="4C1C6DCB" w14:textId="77777777" w:rsidR="00AC5E83" w:rsidRPr="00375558" w:rsidRDefault="00AC5E83" w:rsidP="00AC5E83">
      <w:pPr>
        <w:outlineLvl w:val="0"/>
        <w:rPr>
          <w:rStyle w:val="Robust"/>
          <w:sz w:val="22"/>
          <w:szCs w:val="22"/>
          <w:u w:val="single"/>
          <w:lang w:val="en-GB"/>
        </w:rPr>
      </w:pPr>
      <w:r>
        <w:rPr>
          <w:rStyle w:val="Robust"/>
          <w:sz w:val="22"/>
          <w:szCs w:val="22"/>
          <w:u w:val="single"/>
        </w:rPr>
        <w:br/>
      </w:r>
      <w:r w:rsidRPr="00375558">
        <w:rPr>
          <w:rStyle w:val="Robust"/>
          <w:sz w:val="22"/>
          <w:szCs w:val="22"/>
          <w:u w:val="single"/>
        </w:rPr>
        <w:t>IV.1.1.) Type of procedure</w:t>
      </w:r>
    </w:p>
    <w:p w14:paraId="79ACDF8E" w14:textId="77777777" w:rsidR="00AC5E83" w:rsidRPr="003C10AA" w:rsidRDefault="00AC5E83" w:rsidP="00AC5E83">
      <w:pPr>
        <w:outlineLvl w:val="0"/>
        <w:rPr>
          <w:rStyle w:val="Robust"/>
          <w:b w:val="0"/>
          <w:sz w:val="22"/>
          <w:szCs w:val="22"/>
          <w:u w:val="single"/>
          <w:lang w:val="en-GB"/>
        </w:rPr>
      </w:pPr>
      <w:r w:rsidRPr="00E35964">
        <w:rPr>
          <w:rStyle w:val="Robust"/>
          <w:sz w:val="22"/>
          <w:szCs w:val="22"/>
          <w:u w:val="single"/>
        </w:rPr>
        <w:t>[Local Auction Open]</w:t>
      </w:r>
      <w:r>
        <w:rPr>
          <w:rStyle w:val="Robust"/>
          <w:sz w:val="22"/>
          <w:szCs w:val="22"/>
          <w:u w:val="single"/>
        </w:rPr>
        <w:br/>
      </w:r>
    </w:p>
    <w:p w14:paraId="6B900744" w14:textId="676C4227" w:rsidR="00E71F95" w:rsidRPr="00E71F95" w:rsidRDefault="00AC5E83" w:rsidP="00AC5E83">
      <w:pPr>
        <w:outlineLvl w:val="0"/>
        <w:rPr>
          <w:rStyle w:val="Robust"/>
          <w:sz w:val="22"/>
          <w:szCs w:val="22"/>
        </w:rPr>
      </w:pPr>
      <w:r w:rsidRPr="00E71F95">
        <w:rPr>
          <w:rStyle w:val="Robust"/>
          <w:sz w:val="22"/>
          <w:szCs w:val="22"/>
        </w:rPr>
        <w:t xml:space="preserve">Announcement number in the Official Journal: </w:t>
      </w:r>
      <w:r w:rsidR="00E71F95" w:rsidRPr="00E71F95">
        <w:rPr>
          <w:rStyle w:val="data"/>
          <w:rFonts w:ascii="arial-regular" w:hAnsi="arial-regular"/>
          <w:color w:val="444444"/>
          <w:sz w:val="22"/>
          <w:szCs w:val="22"/>
          <w:shd w:val="clear" w:color="auto" w:fill="FFFFFF"/>
        </w:rPr>
        <w:t>616e23e1-5ab8-48a9-a95e-a4a6af22b1a2</w:t>
      </w:r>
      <w:r w:rsidR="00E71F95" w:rsidRPr="00E71F95">
        <w:rPr>
          <w:rFonts w:ascii="arial-regular" w:hAnsi="arial-regular"/>
          <w:color w:val="444444"/>
          <w:sz w:val="22"/>
          <w:szCs w:val="22"/>
          <w:shd w:val="clear" w:color="auto" w:fill="FFFFFF"/>
        </w:rPr>
        <w:t xml:space="preserve"> - </w:t>
      </w:r>
      <w:r w:rsidR="00E71F95" w:rsidRPr="00E71F95">
        <w:rPr>
          <w:rStyle w:val="data"/>
          <w:rFonts w:ascii="arial-regular" w:hAnsi="arial-regular"/>
          <w:color w:val="444444"/>
          <w:sz w:val="22"/>
          <w:szCs w:val="22"/>
          <w:shd w:val="clear" w:color="auto" w:fill="FFFFFF"/>
        </w:rPr>
        <w:t>01</w:t>
      </w:r>
    </w:p>
    <w:p w14:paraId="18616F4E" w14:textId="746B1CF1" w:rsidR="00AC5E83" w:rsidRPr="00052A67" w:rsidRDefault="00AC5E83" w:rsidP="00AC5E83">
      <w:pPr>
        <w:outlineLvl w:val="0"/>
        <w:rPr>
          <w:rStyle w:val="Robust"/>
          <w:sz w:val="22"/>
          <w:szCs w:val="22"/>
          <w:highlight w:val="lightGray"/>
          <w:u w:val="single"/>
          <w:lang w:val="en-GB"/>
        </w:rPr>
      </w:pPr>
      <w:r w:rsidRPr="00052A67">
        <w:rPr>
          <w:rStyle w:val="Robust"/>
          <w:szCs w:val="24"/>
          <w:highlight w:val="lightGray"/>
        </w:rPr>
        <w:br/>
      </w:r>
      <w:r w:rsidRPr="007C201A">
        <w:rPr>
          <w:rStyle w:val="Robust"/>
          <w:sz w:val="22"/>
          <w:szCs w:val="22"/>
          <w:u w:val="single"/>
        </w:rPr>
        <w:t>II.1.6) Batch information</w:t>
      </w:r>
    </w:p>
    <w:p w14:paraId="6CF7B71C" w14:textId="77777777" w:rsidR="00AC5E83" w:rsidRDefault="00AC5E83" w:rsidP="00AC5E83">
      <w:pPr>
        <w:outlineLvl w:val="0"/>
        <w:rPr>
          <w:rStyle w:val="Robust"/>
          <w:b w:val="0"/>
          <w:sz w:val="22"/>
          <w:szCs w:val="22"/>
          <w:lang w:val="en-GB"/>
        </w:rPr>
      </w:pPr>
      <w:r w:rsidRPr="007C201A">
        <w:rPr>
          <w:rStyle w:val="Robust"/>
          <w:sz w:val="22"/>
          <w:szCs w:val="22"/>
        </w:rPr>
        <w:t>This contract is divided into lots</w:t>
      </w:r>
      <w:r w:rsidRPr="00052A67">
        <w:rPr>
          <w:rStyle w:val="Robust"/>
          <w:sz w:val="22"/>
          <w:szCs w:val="22"/>
          <w:highlight w:val="lightGray"/>
        </w:rPr>
        <w:t>: [no]</w:t>
      </w:r>
    </w:p>
    <w:p w14:paraId="76389AB7" w14:textId="77777777" w:rsidR="00AC5E83" w:rsidRPr="00E35964" w:rsidRDefault="00AC5E83" w:rsidP="00AC5E83">
      <w:pPr>
        <w:outlineLvl w:val="0"/>
        <w:rPr>
          <w:rStyle w:val="Robust"/>
          <w:b w:val="0"/>
          <w:sz w:val="22"/>
          <w:szCs w:val="22"/>
        </w:rPr>
      </w:pPr>
      <w:r w:rsidRPr="00052A67">
        <w:rPr>
          <w:rStyle w:val="Robust"/>
          <w:sz w:val="22"/>
          <w:szCs w:val="22"/>
          <w:highlight w:val="lightGray"/>
        </w:rPr>
        <w:t xml:space="preserve"> [single batch]]</w:t>
      </w:r>
    </w:p>
    <w:p w14:paraId="74944DE5" w14:textId="77777777" w:rsidR="00AC5E83" w:rsidRPr="00E35964" w:rsidRDefault="00AC5E83" w:rsidP="00AC5E83">
      <w:pPr>
        <w:outlineLvl w:val="0"/>
        <w:rPr>
          <w:rStyle w:val="Robust"/>
          <w:b w:val="0"/>
          <w:sz w:val="22"/>
          <w:szCs w:val="22"/>
          <w:u w:val="single"/>
        </w:rPr>
      </w:pPr>
      <w:r w:rsidRPr="00D67F00">
        <w:rPr>
          <w:rStyle w:val="Robust"/>
          <w:sz w:val="22"/>
          <w:szCs w:val="22"/>
          <w:u w:val="single"/>
        </w:rPr>
        <w:t>II.2) Description</w:t>
      </w:r>
      <w:r>
        <w:rPr>
          <w:rStyle w:val="Robust"/>
          <w:sz w:val="22"/>
          <w:szCs w:val="22"/>
          <w:u w:val="single"/>
        </w:rPr>
        <w:br/>
      </w:r>
      <w:r>
        <w:rPr>
          <w:rStyle w:val="Robust"/>
          <w:sz w:val="22"/>
          <w:szCs w:val="22"/>
        </w:rPr>
        <w:br/>
      </w:r>
      <w:r w:rsidRPr="00E35964">
        <w:rPr>
          <w:rStyle w:val="Robust"/>
          <w:sz w:val="22"/>
          <w:szCs w:val="22"/>
        </w:rPr>
        <w:t>II.2.</w:t>
      </w:r>
      <w:proofErr w:type="gramStart"/>
      <w:r w:rsidRPr="00E35964">
        <w:rPr>
          <w:rStyle w:val="Robust"/>
          <w:sz w:val="22"/>
          <w:szCs w:val="22"/>
        </w:rPr>
        <w:t>1)Batch</w:t>
      </w:r>
      <w:proofErr w:type="gramEnd"/>
      <w:r w:rsidRPr="00E35964">
        <w:rPr>
          <w:rStyle w:val="Robust"/>
          <w:sz w:val="22"/>
          <w:szCs w:val="22"/>
        </w:rPr>
        <w:t xml:space="preserve"> No.: &lt;single </w:t>
      </w:r>
      <w:r>
        <w:rPr>
          <w:rStyle w:val="Robust"/>
          <w:sz w:val="22"/>
          <w:szCs w:val="22"/>
        </w:rPr>
        <w:t>batch</w:t>
      </w:r>
      <w:r w:rsidRPr="00E35964">
        <w:rPr>
          <w:rStyle w:val="Robust"/>
          <w:sz w:val="22"/>
          <w:szCs w:val="22"/>
        </w:rPr>
        <w:t>&gt;</w:t>
      </w:r>
      <w:r w:rsidRPr="00E35964">
        <w:rPr>
          <w:rStyle w:val="Robust"/>
          <w:sz w:val="22"/>
          <w:szCs w:val="22"/>
        </w:rPr>
        <w:br/>
      </w:r>
      <w:r w:rsidRPr="00E35964">
        <w:rPr>
          <w:rStyle w:val="Robust"/>
          <w:sz w:val="22"/>
          <w:szCs w:val="22"/>
        </w:rPr>
        <w:lastRenderedPageBreak/>
        <w:t>Title: &lt;Construction of the intermediate storage facility for radioactive waste and radiological monitoring system&gt;]</w:t>
      </w:r>
    </w:p>
    <w:p w14:paraId="787D4E49" w14:textId="77777777" w:rsidR="00AC5E83" w:rsidRPr="00052A67" w:rsidRDefault="00AC5E83" w:rsidP="00AC5E83">
      <w:pPr>
        <w:outlineLvl w:val="0"/>
        <w:rPr>
          <w:rStyle w:val="Robust"/>
          <w:sz w:val="22"/>
          <w:szCs w:val="22"/>
          <w:highlight w:val="lightGray"/>
          <w:u w:val="single"/>
        </w:rPr>
      </w:pPr>
      <w:r>
        <w:rPr>
          <w:rStyle w:val="Robust"/>
          <w:sz w:val="22"/>
          <w:szCs w:val="22"/>
        </w:rPr>
        <w:br/>
      </w:r>
      <w:r w:rsidRPr="00D67F00">
        <w:rPr>
          <w:rStyle w:val="Robust"/>
          <w:sz w:val="22"/>
          <w:szCs w:val="22"/>
          <w:u w:val="single"/>
        </w:rPr>
        <w:t>II.2.3) Place of execution</w:t>
      </w:r>
    </w:p>
    <w:p w14:paraId="7A314FB6" w14:textId="77777777" w:rsidR="00AC5E83" w:rsidRDefault="00AC5E83" w:rsidP="00AC5E83">
      <w:pPr>
        <w:outlineLvl w:val="0"/>
        <w:rPr>
          <w:rStyle w:val="Robust"/>
          <w:b w:val="0"/>
          <w:sz w:val="22"/>
          <w:szCs w:val="22"/>
          <w:lang w:val="en-GB"/>
        </w:rPr>
      </w:pPr>
      <w:r w:rsidRPr="00D67F00">
        <w:rPr>
          <w:rStyle w:val="Robust"/>
          <w:sz w:val="22"/>
          <w:szCs w:val="22"/>
        </w:rPr>
        <w:t xml:space="preserve">Geographical area benefiting from the action: &lt; </w:t>
      </w:r>
      <w:r w:rsidRPr="00E35964">
        <w:rPr>
          <w:rStyle w:val="Robust"/>
          <w:szCs w:val="24"/>
        </w:rPr>
        <w:t xml:space="preserve">Chisinau Republic of Moldova </w:t>
      </w:r>
      <w:r w:rsidRPr="00E35964">
        <w:rPr>
          <w:rStyle w:val="Robust"/>
          <w:sz w:val="22"/>
          <w:szCs w:val="22"/>
        </w:rPr>
        <w:t>&gt;</w:t>
      </w:r>
    </w:p>
    <w:p w14:paraId="61DC8841" w14:textId="77777777" w:rsidR="00E61ED7" w:rsidRPr="000A362A" w:rsidRDefault="00E61ED7" w:rsidP="00E61ED7">
      <w:pPr>
        <w:outlineLvl w:val="0"/>
        <w:rPr>
          <w:sz w:val="22"/>
          <w:szCs w:val="22"/>
        </w:rPr>
      </w:pPr>
      <w:r w:rsidRPr="000A362A">
        <w:rPr>
          <w:b/>
          <w:bCs/>
          <w:sz w:val="22"/>
          <w:szCs w:val="22"/>
        </w:rPr>
        <w:t>NUTS code:</w:t>
      </w:r>
      <w:r w:rsidRPr="000A362A">
        <w:rPr>
          <w:sz w:val="22"/>
          <w:szCs w:val="22"/>
        </w:rPr>
        <w:t xml:space="preserve"> MD (Republic of Moldova)</w:t>
      </w:r>
    </w:p>
    <w:p w14:paraId="64640B84" w14:textId="77777777" w:rsidR="00E61ED7" w:rsidRPr="007B43FF" w:rsidRDefault="00E61ED7" w:rsidP="00E61ED7">
      <w:pPr>
        <w:outlineLvl w:val="0"/>
        <w:rPr>
          <w:rStyle w:val="Robust"/>
          <w:b w:val="0"/>
          <w:sz w:val="22"/>
          <w:szCs w:val="22"/>
        </w:rPr>
      </w:pPr>
      <w:r w:rsidRPr="000A362A">
        <w:rPr>
          <w:b/>
          <w:bCs/>
          <w:sz w:val="22"/>
          <w:szCs w:val="22"/>
        </w:rPr>
        <w:t>Main site:</w:t>
      </w:r>
      <w:r w:rsidRPr="000A362A">
        <w:rPr>
          <w:sz w:val="22"/>
          <w:szCs w:val="22"/>
        </w:rPr>
        <w:t xml:space="preserve"> ISDS "</w:t>
      </w:r>
      <w:proofErr w:type="spellStart"/>
      <w:r w:rsidRPr="000A362A">
        <w:rPr>
          <w:sz w:val="22"/>
          <w:szCs w:val="22"/>
        </w:rPr>
        <w:t>Obiectele</w:t>
      </w:r>
      <w:proofErr w:type="spellEnd"/>
      <w:r w:rsidRPr="000A362A">
        <w:rPr>
          <w:sz w:val="22"/>
          <w:szCs w:val="22"/>
        </w:rPr>
        <w:t xml:space="preserve"> </w:t>
      </w:r>
      <w:proofErr w:type="spellStart"/>
      <w:r w:rsidRPr="000A362A">
        <w:rPr>
          <w:sz w:val="22"/>
          <w:szCs w:val="22"/>
        </w:rPr>
        <w:t>Speciale</w:t>
      </w:r>
      <w:proofErr w:type="spellEnd"/>
      <w:r w:rsidRPr="000A362A">
        <w:rPr>
          <w:sz w:val="22"/>
          <w:szCs w:val="22"/>
        </w:rPr>
        <w:t xml:space="preserve"> 5101, 5102", str. </w:t>
      </w:r>
      <w:proofErr w:type="spellStart"/>
      <w:r w:rsidRPr="000A362A">
        <w:rPr>
          <w:sz w:val="22"/>
          <w:szCs w:val="22"/>
        </w:rPr>
        <w:t>Uzinelor</w:t>
      </w:r>
      <w:proofErr w:type="spellEnd"/>
      <w:r w:rsidRPr="000A362A">
        <w:rPr>
          <w:sz w:val="22"/>
          <w:szCs w:val="22"/>
        </w:rPr>
        <w:t xml:space="preserve"> nr. 210, MD-2037, </w:t>
      </w:r>
      <w:proofErr w:type="spellStart"/>
      <w:r w:rsidRPr="000A362A">
        <w:rPr>
          <w:sz w:val="22"/>
          <w:szCs w:val="22"/>
        </w:rPr>
        <w:t>Chișinău</w:t>
      </w:r>
      <w:proofErr w:type="spellEnd"/>
      <w:r w:rsidRPr="000A362A">
        <w:rPr>
          <w:sz w:val="22"/>
          <w:szCs w:val="22"/>
        </w:rPr>
        <w:t>, Moldova</w:t>
      </w:r>
    </w:p>
    <w:p w14:paraId="6D1AA1FD" w14:textId="77777777" w:rsidR="00E61ED7" w:rsidRPr="00E61ED7" w:rsidRDefault="00E61ED7" w:rsidP="00E61ED7">
      <w:pPr>
        <w:spacing w:before="0" w:after="0"/>
        <w:outlineLvl w:val="0"/>
        <w:rPr>
          <w:sz w:val="22"/>
          <w:szCs w:val="22"/>
        </w:rPr>
      </w:pPr>
    </w:p>
    <w:p w14:paraId="31C55B5A" w14:textId="77777777" w:rsidR="00E61ED7" w:rsidRPr="00E61ED7" w:rsidRDefault="00E61ED7" w:rsidP="00E61ED7">
      <w:pPr>
        <w:spacing w:before="0" w:after="0"/>
        <w:outlineLvl w:val="0"/>
        <w:rPr>
          <w:b/>
          <w:bCs/>
          <w:sz w:val="22"/>
          <w:szCs w:val="22"/>
        </w:rPr>
      </w:pPr>
      <w:r w:rsidRPr="00E61ED7">
        <w:rPr>
          <w:b/>
          <w:bCs/>
          <w:sz w:val="22"/>
          <w:szCs w:val="22"/>
        </w:rPr>
        <w:t>II.2.4) Description of the procurement:</w:t>
      </w:r>
    </w:p>
    <w:p w14:paraId="7B4E49A8" w14:textId="77777777" w:rsidR="00E61ED7" w:rsidRPr="00E61ED7" w:rsidRDefault="00E61ED7" w:rsidP="00E61ED7">
      <w:pPr>
        <w:spacing w:before="0" w:after="0"/>
        <w:outlineLvl w:val="0"/>
        <w:rPr>
          <w:sz w:val="22"/>
          <w:szCs w:val="22"/>
        </w:rPr>
      </w:pPr>
      <w:r w:rsidRPr="00E61ED7">
        <w:rPr>
          <w:sz w:val="22"/>
          <w:szCs w:val="22"/>
        </w:rPr>
        <w:t>See II.1.4 above. Complete technical specifications provided in tender dossier Volume 3 (Specification of Work).</w:t>
      </w:r>
    </w:p>
    <w:p w14:paraId="056CBA8E" w14:textId="77777777" w:rsidR="00E61ED7" w:rsidRPr="00E61ED7" w:rsidRDefault="00E61ED7" w:rsidP="00E61ED7">
      <w:pPr>
        <w:spacing w:before="0" w:after="0"/>
        <w:outlineLvl w:val="0"/>
        <w:rPr>
          <w:sz w:val="22"/>
          <w:szCs w:val="22"/>
        </w:rPr>
      </w:pPr>
      <w:r w:rsidRPr="00E61ED7">
        <w:rPr>
          <w:sz w:val="22"/>
          <w:szCs w:val="22"/>
        </w:rPr>
        <w:t>MANDATORY DESIGN DEVELOPMENT:</w:t>
      </w:r>
    </w:p>
    <w:p w14:paraId="373D8B44" w14:textId="77777777" w:rsidR="00E61ED7" w:rsidRPr="00E61ED7" w:rsidRDefault="00E61ED7" w:rsidP="00E61ED7">
      <w:pPr>
        <w:spacing w:before="0" w:after="0"/>
        <w:outlineLvl w:val="0"/>
        <w:rPr>
          <w:sz w:val="22"/>
          <w:szCs w:val="22"/>
        </w:rPr>
      </w:pPr>
      <w:r w:rsidRPr="00E61ED7">
        <w:rPr>
          <w:sz w:val="22"/>
          <w:szCs w:val="22"/>
        </w:rPr>
        <w:t>Tenderers must understand this is a design-build contract where the contractor must:</w:t>
      </w:r>
    </w:p>
    <w:p w14:paraId="4F147396" w14:textId="77777777" w:rsidR="00E61ED7" w:rsidRPr="00E61ED7" w:rsidRDefault="00E61ED7" w:rsidP="00146E34">
      <w:pPr>
        <w:numPr>
          <w:ilvl w:val="0"/>
          <w:numId w:val="10"/>
        </w:numPr>
        <w:spacing w:before="0" w:after="0"/>
        <w:outlineLvl w:val="0"/>
        <w:rPr>
          <w:sz w:val="22"/>
          <w:szCs w:val="22"/>
        </w:rPr>
      </w:pPr>
      <w:r w:rsidRPr="00E61ED7">
        <w:rPr>
          <w:sz w:val="22"/>
          <w:szCs w:val="22"/>
        </w:rPr>
        <w:t>Verify and finalize conceptual designs provided by Romanian design company</w:t>
      </w:r>
    </w:p>
    <w:p w14:paraId="5EA3310F" w14:textId="77777777" w:rsidR="00E61ED7" w:rsidRPr="00E61ED7" w:rsidRDefault="00E61ED7" w:rsidP="00146E34">
      <w:pPr>
        <w:numPr>
          <w:ilvl w:val="0"/>
          <w:numId w:val="10"/>
        </w:numPr>
        <w:spacing w:before="0" w:after="0"/>
        <w:outlineLvl w:val="0"/>
        <w:rPr>
          <w:sz w:val="22"/>
          <w:szCs w:val="22"/>
        </w:rPr>
      </w:pPr>
      <w:r w:rsidRPr="00E61ED7">
        <w:rPr>
          <w:sz w:val="22"/>
          <w:szCs w:val="22"/>
        </w:rPr>
        <w:t>Adapt designs to Moldovan construction standards (</w:t>
      </w:r>
      <w:proofErr w:type="spellStart"/>
      <w:r w:rsidRPr="00E61ED7">
        <w:rPr>
          <w:sz w:val="22"/>
          <w:szCs w:val="22"/>
        </w:rPr>
        <w:t>SNiP</w:t>
      </w:r>
      <w:proofErr w:type="spellEnd"/>
      <w:r w:rsidRPr="00E61ED7">
        <w:rPr>
          <w:sz w:val="22"/>
          <w:szCs w:val="22"/>
        </w:rPr>
        <w:t>, NCM, CP)</w:t>
      </w:r>
    </w:p>
    <w:p w14:paraId="359DF80C" w14:textId="77777777" w:rsidR="00E61ED7" w:rsidRPr="00E61ED7" w:rsidRDefault="00E61ED7" w:rsidP="00146E34">
      <w:pPr>
        <w:numPr>
          <w:ilvl w:val="0"/>
          <w:numId w:val="10"/>
        </w:numPr>
        <w:spacing w:before="0" w:after="0"/>
        <w:outlineLvl w:val="0"/>
        <w:rPr>
          <w:sz w:val="22"/>
          <w:szCs w:val="22"/>
        </w:rPr>
      </w:pPr>
      <w:r w:rsidRPr="00E61ED7">
        <w:rPr>
          <w:sz w:val="22"/>
          <w:szCs w:val="22"/>
        </w:rPr>
        <w:t>Engage independent verification organization (Moldovan-certified)</w:t>
      </w:r>
    </w:p>
    <w:p w14:paraId="0841B7E8" w14:textId="77777777" w:rsidR="00E61ED7" w:rsidRPr="00E61ED7" w:rsidRDefault="00E61ED7" w:rsidP="00146E34">
      <w:pPr>
        <w:numPr>
          <w:ilvl w:val="0"/>
          <w:numId w:val="10"/>
        </w:numPr>
        <w:spacing w:before="0" w:after="0"/>
        <w:outlineLvl w:val="0"/>
        <w:rPr>
          <w:sz w:val="22"/>
          <w:szCs w:val="22"/>
        </w:rPr>
      </w:pPr>
      <w:r w:rsidRPr="00E61ED7">
        <w:rPr>
          <w:sz w:val="22"/>
          <w:szCs w:val="22"/>
        </w:rPr>
        <w:t>Develop complete construction-ready documentation</w:t>
      </w:r>
    </w:p>
    <w:p w14:paraId="5C390710" w14:textId="77777777" w:rsidR="00E61ED7" w:rsidRPr="00E61ED7" w:rsidRDefault="00E61ED7" w:rsidP="00146E34">
      <w:pPr>
        <w:numPr>
          <w:ilvl w:val="0"/>
          <w:numId w:val="10"/>
        </w:numPr>
        <w:spacing w:before="0" w:after="0"/>
        <w:outlineLvl w:val="0"/>
        <w:rPr>
          <w:sz w:val="22"/>
          <w:szCs w:val="22"/>
        </w:rPr>
      </w:pPr>
      <w:r w:rsidRPr="00E61ED7">
        <w:rPr>
          <w:sz w:val="22"/>
          <w:szCs w:val="22"/>
        </w:rPr>
        <w:t>Obtain construction authorization from NARNRA</w:t>
      </w:r>
    </w:p>
    <w:p w14:paraId="12D0CB1B" w14:textId="77777777" w:rsidR="00E61ED7" w:rsidRPr="00E61ED7" w:rsidRDefault="00E61ED7" w:rsidP="00146E34">
      <w:pPr>
        <w:numPr>
          <w:ilvl w:val="0"/>
          <w:numId w:val="10"/>
        </w:numPr>
        <w:spacing w:before="0" w:after="0"/>
        <w:outlineLvl w:val="0"/>
        <w:rPr>
          <w:sz w:val="22"/>
          <w:szCs w:val="22"/>
        </w:rPr>
      </w:pPr>
      <w:r w:rsidRPr="00E61ED7">
        <w:rPr>
          <w:sz w:val="22"/>
          <w:szCs w:val="22"/>
        </w:rPr>
        <w:t>Support all regulatory approval processes</w:t>
      </w:r>
    </w:p>
    <w:p w14:paraId="6F0C7990" w14:textId="77777777" w:rsidR="00E61ED7" w:rsidRPr="00E61ED7" w:rsidRDefault="00E61ED7" w:rsidP="00E61ED7">
      <w:pPr>
        <w:spacing w:before="0" w:after="0"/>
        <w:outlineLvl w:val="0"/>
        <w:rPr>
          <w:sz w:val="22"/>
          <w:szCs w:val="22"/>
        </w:rPr>
      </w:pPr>
      <w:r w:rsidRPr="00E61ED7">
        <w:rPr>
          <w:sz w:val="22"/>
          <w:szCs w:val="22"/>
        </w:rPr>
        <w:t>Technical designs available for viewing only during mandatory site visit (no copies provided).</w:t>
      </w:r>
    </w:p>
    <w:p w14:paraId="50CBE96F" w14:textId="77777777" w:rsidR="00AC5E83" w:rsidRPr="00D67F00" w:rsidRDefault="00AC5E83" w:rsidP="00AC5E83">
      <w:pPr>
        <w:outlineLvl w:val="0"/>
        <w:rPr>
          <w:rStyle w:val="Robust"/>
          <w:sz w:val="22"/>
          <w:szCs w:val="22"/>
          <w:u w:val="single"/>
          <w:lang w:val="en-GB"/>
        </w:rPr>
      </w:pPr>
      <w:r w:rsidRPr="00E61ED7">
        <w:rPr>
          <w:rStyle w:val="Robust"/>
          <w:sz w:val="22"/>
          <w:szCs w:val="22"/>
        </w:rPr>
        <w:br/>
      </w:r>
      <w:r w:rsidRPr="00D67F00">
        <w:rPr>
          <w:rStyle w:val="Robust"/>
          <w:sz w:val="22"/>
          <w:szCs w:val="22"/>
          <w:u w:val="single"/>
        </w:rPr>
        <w:t>II.2.5) Award criteria</w:t>
      </w:r>
    </w:p>
    <w:p w14:paraId="6405FA21" w14:textId="77777777" w:rsidR="001F30ED" w:rsidRPr="0063684E" w:rsidRDefault="00AC5E83" w:rsidP="001F30ED">
      <w:pPr>
        <w:spacing w:before="0" w:after="0"/>
        <w:rPr>
          <w:szCs w:val="24"/>
        </w:rPr>
      </w:pPr>
      <w:r w:rsidRPr="00E35964">
        <w:rPr>
          <w:rStyle w:val="Robust"/>
          <w:sz w:val="22"/>
          <w:szCs w:val="22"/>
        </w:rPr>
        <w:t>[Lowest share]</w:t>
      </w:r>
      <w:r w:rsidRPr="00E35964">
        <w:rPr>
          <w:rStyle w:val="Robust"/>
          <w:sz w:val="22"/>
          <w:szCs w:val="22"/>
        </w:rPr>
        <w:br/>
      </w:r>
      <w:r w:rsidR="001F30ED" w:rsidRPr="0063684E">
        <w:rPr>
          <w:szCs w:val="24"/>
        </w:rPr>
        <w:t>Technical conformity verified by:</w:t>
      </w:r>
    </w:p>
    <w:p w14:paraId="5459ADDC" w14:textId="77777777" w:rsidR="001F30ED" w:rsidRPr="0063684E" w:rsidRDefault="001F30ED" w:rsidP="00146E34">
      <w:pPr>
        <w:widowControl/>
        <w:numPr>
          <w:ilvl w:val="0"/>
          <w:numId w:val="2"/>
        </w:numPr>
        <w:spacing w:before="0" w:after="0"/>
        <w:jc w:val="both"/>
        <w:rPr>
          <w:szCs w:val="24"/>
        </w:rPr>
      </w:pPr>
      <w:r w:rsidRPr="0063684E">
        <w:rPr>
          <w:szCs w:val="24"/>
        </w:rPr>
        <w:t>Full technical proposal addressing all specifications</w:t>
      </w:r>
    </w:p>
    <w:p w14:paraId="0F6FC404" w14:textId="77777777" w:rsidR="001F30ED" w:rsidRPr="0063684E" w:rsidRDefault="001F30ED" w:rsidP="00146E34">
      <w:pPr>
        <w:widowControl/>
        <w:numPr>
          <w:ilvl w:val="0"/>
          <w:numId w:val="2"/>
        </w:numPr>
        <w:spacing w:before="0" w:after="0"/>
        <w:jc w:val="both"/>
        <w:rPr>
          <w:szCs w:val="24"/>
        </w:rPr>
      </w:pPr>
      <w:r w:rsidRPr="0063684E">
        <w:rPr>
          <w:szCs w:val="24"/>
        </w:rPr>
        <w:t>Detailed design development methodology and timeline</w:t>
      </w:r>
      <w:r>
        <w:rPr>
          <w:szCs w:val="24"/>
        </w:rPr>
        <w:t xml:space="preserve"> </w:t>
      </w:r>
      <w:r w:rsidRPr="000A362A">
        <w:rPr>
          <w:szCs w:val="24"/>
        </w:rPr>
        <w:t>(maximum 6 months for design and authorization)</w:t>
      </w:r>
    </w:p>
    <w:p w14:paraId="4DBF80EE" w14:textId="77777777" w:rsidR="001F30ED" w:rsidRPr="0063684E" w:rsidRDefault="001F30ED" w:rsidP="00146E34">
      <w:pPr>
        <w:widowControl/>
        <w:numPr>
          <w:ilvl w:val="0"/>
          <w:numId w:val="2"/>
        </w:numPr>
        <w:spacing w:before="0" w:after="0"/>
        <w:jc w:val="both"/>
        <w:rPr>
          <w:szCs w:val="24"/>
        </w:rPr>
      </w:pPr>
      <w:r w:rsidRPr="0063684E">
        <w:rPr>
          <w:szCs w:val="24"/>
        </w:rPr>
        <w:t>SSVEPC</w:t>
      </w:r>
      <w:r>
        <w:rPr>
          <w:szCs w:val="24"/>
        </w:rPr>
        <w:t>/</w:t>
      </w:r>
      <w:r w:rsidRPr="000A362A">
        <w:rPr>
          <w:szCs w:val="24"/>
        </w:rPr>
        <w:t>Independent</w:t>
      </w:r>
      <w:r w:rsidRPr="0063684E">
        <w:rPr>
          <w:szCs w:val="24"/>
        </w:rPr>
        <w:t xml:space="preserve"> Verification Strategy</w:t>
      </w:r>
    </w:p>
    <w:p w14:paraId="46C1FC22" w14:textId="77777777" w:rsidR="001F30ED" w:rsidRPr="0063684E" w:rsidRDefault="001F30ED" w:rsidP="00146E34">
      <w:pPr>
        <w:widowControl/>
        <w:numPr>
          <w:ilvl w:val="0"/>
          <w:numId w:val="2"/>
        </w:numPr>
        <w:spacing w:before="0" w:after="0"/>
        <w:jc w:val="both"/>
        <w:rPr>
          <w:szCs w:val="24"/>
        </w:rPr>
      </w:pPr>
      <w:r w:rsidRPr="0063684E">
        <w:rPr>
          <w:szCs w:val="24"/>
        </w:rPr>
        <w:t xml:space="preserve">Detailed work </w:t>
      </w:r>
      <w:proofErr w:type="spellStart"/>
      <w:r w:rsidRPr="0063684E">
        <w:rPr>
          <w:szCs w:val="24"/>
        </w:rPr>
        <w:t>programme</w:t>
      </w:r>
      <w:proofErr w:type="spellEnd"/>
      <w:r w:rsidRPr="0063684E">
        <w:rPr>
          <w:szCs w:val="24"/>
        </w:rPr>
        <w:t xml:space="preserve"> demonstrating completion in June 2027</w:t>
      </w:r>
    </w:p>
    <w:p w14:paraId="1AF27DBE" w14:textId="77777777" w:rsidR="001F30ED" w:rsidRPr="0063684E" w:rsidRDefault="001F30ED" w:rsidP="00146E34">
      <w:pPr>
        <w:widowControl/>
        <w:numPr>
          <w:ilvl w:val="0"/>
          <w:numId w:val="2"/>
        </w:numPr>
        <w:spacing w:before="0" w:after="0"/>
        <w:jc w:val="both"/>
        <w:rPr>
          <w:szCs w:val="24"/>
        </w:rPr>
      </w:pPr>
      <w:r w:rsidRPr="0063684E">
        <w:rPr>
          <w:szCs w:val="24"/>
        </w:rPr>
        <w:t>Evidence of resource availability</w:t>
      </w:r>
    </w:p>
    <w:p w14:paraId="63CEB03F" w14:textId="77777777" w:rsidR="001F30ED" w:rsidRDefault="001F30ED" w:rsidP="00146E34">
      <w:pPr>
        <w:widowControl/>
        <w:numPr>
          <w:ilvl w:val="0"/>
          <w:numId w:val="2"/>
        </w:numPr>
        <w:spacing w:before="0" w:after="0"/>
        <w:jc w:val="both"/>
        <w:rPr>
          <w:szCs w:val="24"/>
        </w:rPr>
      </w:pPr>
      <w:r w:rsidRPr="000A362A">
        <w:rPr>
          <w:szCs w:val="24"/>
        </w:rPr>
        <w:t>Design development capabilities (Lead Designer credentials, design team experience)</w:t>
      </w:r>
    </w:p>
    <w:p w14:paraId="0B4C5302" w14:textId="77777777" w:rsidR="001F30ED" w:rsidRPr="007B43FF" w:rsidRDefault="001F30ED" w:rsidP="00146E34">
      <w:pPr>
        <w:widowControl/>
        <w:numPr>
          <w:ilvl w:val="0"/>
          <w:numId w:val="2"/>
        </w:numPr>
        <w:spacing w:before="0" w:after="0"/>
        <w:jc w:val="both"/>
        <w:rPr>
          <w:szCs w:val="24"/>
        </w:rPr>
      </w:pPr>
      <w:r w:rsidRPr="007B43FF">
        <w:rPr>
          <w:szCs w:val="24"/>
        </w:rPr>
        <w:t xml:space="preserve">Moldovan regulatory experience or partnership </w:t>
      </w:r>
    </w:p>
    <w:p w14:paraId="0A191958" w14:textId="77777777" w:rsidR="001F30ED" w:rsidRDefault="001F30ED" w:rsidP="00146E34">
      <w:pPr>
        <w:widowControl/>
        <w:numPr>
          <w:ilvl w:val="0"/>
          <w:numId w:val="2"/>
        </w:numPr>
        <w:spacing w:before="0" w:after="0"/>
        <w:jc w:val="both"/>
        <w:rPr>
          <w:szCs w:val="24"/>
        </w:rPr>
      </w:pPr>
      <w:r w:rsidRPr="000A362A">
        <w:rPr>
          <w:snapToGrid/>
          <w:szCs w:val="24"/>
        </w:rPr>
        <w:t>Quality assurance approach for NARNRA first submission</w:t>
      </w:r>
    </w:p>
    <w:p w14:paraId="7FEDFF7C" w14:textId="77777777" w:rsidR="001F30ED" w:rsidRDefault="001F30ED" w:rsidP="00146E34">
      <w:pPr>
        <w:widowControl/>
        <w:numPr>
          <w:ilvl w:val="0"/>
          <w:numId w:val="2"/>
        </w:numPr>
        <w:spacing w:before="0" w:after="0"/>
        <w:jc w:val="both"/>
        <w:rPr>
          <w:szCs w:val="24"/>
        </w:rPr>
      </w:pPr>
      <w:r w:rsidRPr="0063684E">
        <w:rPr>
          <w:szCs w:val="24"/>
        </w:rPr>
        <w:t xml:space="preserve">Signed commitment to the </w:t>
      </w:r>
      <w:r>
        <w:rPr>
          <w:szCs w:val="24"/>
        </w:rPr>
        <w:t>timeline</w:t>
      </w:r>
      <w:r w:rsidRPr="0063684E">
        <w:rPr>
          <w:szCs w:val="24"/>
        </w:rPr>
        <w:t>.</w:t>
      </w:r>
    </w:p>
    <w:p w14:paraId="686F32ED" w14:textId="77777777" w:rsidR="001F30ED" w:rsidRDefault="001F30ED" w:rsidP="00146E34">
      <w:pPr>
        <w:widowControl/>
        <w:numPr>
          <w:ilvl w:val="0"/>
          <w:numId w:val="2"/>
        </w:numPr>
        <w:spacing w:before="0" w:after="0"/>
        <w:jc w:val="both"/>
        <w:rPr>
          <w:szCs w:val="24"/>
        </w:rPr>
      </w:pPr>
      <w:r>
        <w:rPr>
          <w:szCs w:val="24"/>
        </w:rPr>
        <w:t>According to Article 32 of the Law of the Republic of Moldova no. 245/2008 on state secrecy in conjunction with item 967 of the Regulation on ensuring the secrecy regime within public authorities and other legal entities, approved by the Decision of the Government of the Republic of Moldova no. 1176 of 22.12.2010, for participation in the conclusion and execution of contracts with the use of information attributed to the state secret,  Legal entities must have security certificates for carrying out work with the use of information having a certain degree of secrecy. The procedure for obtaining the security certificate is provided in items 136-160 of the Regulation. At the same time, the conditions for the management of state secret information will be established in the contract award documentation and are mentioned in its Security Annex</w:t>
      </w:r>
    </w:p>
    <w:p w14:paraId="0D01AA1B" w14:textId="77777777" w:rsidR="001F30ED" w:rsidRDefault="001F30ED" w:rsidP="00146E34">
      <w:pPr>
        <w:widowControl/>
        <w:numPr>
          <w:ilvl w:val="0"/>
          <w:numId w:val="2"/>
        </w:numPr>
        <w:spacing w:before="0" w:after="0"/>
        <w:jc w:val="both"/>
        <w:rPr>
          <w:szCs w:val="24"/>
        </w:rPr>
      </w:pPr>
      <w:r>
        <w:rPr>
          <w:szCs w:val="24"/>
        </w:rPr>
        <w:t xml:space="preserve">If the operator is registered on the territory of a state with which the Republic of Moldova has concluded an agreement in the field of protection of classified information, then the economic operator is verified and authorized according to national regulations </w:t>
      </w:r>
      <w:proofErr w:type="gramStart"/>
      <w:r>
        <w:rPr>
          <w:szCs w:val="24"/>
        </w:rPr>
        <w:t>taking into account</w:t>
      </w:r>
      <w:proofErr w:type="gramEnd"/>
      <w:r>
        <w:rPr>
          <w:szCs w:val="24"/>
        </w:rPr>
        <w:t xml:space="preserve"> the provisions of the agreement;</w:t>
      </w:r>
    </w:p>
    <w:p w14:paraId="13E798E4" w14:textId="609ECBD9" w:rsidR="001F30ED" w:rsidRDefault="001F30ED" w:rsidP="00146E34">
      <w:pPr>
        <w:widowControl/>
        <w:numPr>
          <w:ilvl w:val="0"/>
          <w:numId w:val="2"/>
        </w:numPr>
        <w:spacing w:before="0" w:after="0"/>
        <w:jc w:val="both"/>
        <w:rPr>
          <w:szCs w:val="24"/>
        </w:rPr>
      </w:pPr>
      <w:r>
        <w:rPr>
          <w:szCs w:val="24"/>
        </w:rPr>
        <w:lastRenderedPageBreak/>
        <w:t>In the event that the requesting economic operator is registered on the territory of a state with which the Republic of Moldova does not have an agreement on the mutual protection of classified information, the procedure for obtaining the certificate according to the regulations of art.32 of the Law of the Republic of Moldova no. 245/2008 on state secrets and the procedure for authorizing access to state secrets, provided by art.28 paragraph 4) of the same normative act (access of foreign citizens to state secrets).</w:t>
      </w:r>
    </w:p>
    <w:p w14:paraId="46FF2B02" w14:textId="77777777" w:rsidR="001930AF" w:rsidRPr="00E35964" w:rsidRDefault="001930AF" w:rsidP="00146E34">
      <w:pPr>
        <w:widowControl/>
        <w:numPr>
          <w:ilvl w:val="0"/>
          <w:numId w:val="2"/>
        </w:numPr>
        <w:spacing w:before="0" w:after="0"/>
        <w:jc w:val="both"/>
        <w:rPr>
          <w:szCs w:val="24"/>
        </w:rPr>
      </w:pPr>
    </w:p>
    <w:p w14:paraId="579CD3F2" w14:textId="2440C659" w:rsidR="00AC5E83" w:rsidRPr="00E35964" w:rsidRDefault="00AC5E83" w:rsidP="001F30ED">
      <w:pPr>
        <w:spacing w:before="0" w:after="0"/>
        <w:rPr>
          <w:rStyle w:val="Robust"/>
          <w:b w:val="0"/>
          <w:sz w:val="22"/>
          <w:szCs w:val="22"/>
          <w:lang w:val="en-GB"/>
        </w:rPr>
      </w:pPr>
      <w:r w:rsidRPr="00D67F00">
        <w:rPr>
          <w:rStyle w:val="Robust"/>
          <w:sz w:val="22"/>
          <w:szCs w:val="22"/>
          <w:u w:val="single"/>
        </w:rPr>
        <w:t>IV.2.2) Deadline for submission of bids or requests to participate</w:t>
      </w:r>
    </w:p>
    <w:p w14:paraId="367BDA2F" w14:textId="58CB7D17" w:rsidR="00AC5E83" w:rsidRPr="00F82AA4" w:rsidRDefault="00AC5E83" w:rsidP="00AC5E83">
      <w:pPr>
        <w:outlineLvl w:val="0"/>
        <w:rPr>
          <w:rStyle w:val="Robust"/>
          <w:b w:val="0"/>
          <w:sz w:val="22"/>
          <w:szCs w:val="22"/>
          <w:lang w:val="en-GB"/>
        </w:rPr>
      </w:pPr>
      <w:r w:rsidRPr="00E35964">
        <w:rPr>
          <w:rStyle w:val="Robust"/>
          <w:sz w:val="22"/>
          <w:szCs w:val="22"/>
        </w:rPr>
        <w:t xml:space="preserve">Date: </w:t>
      </w:r>
      <w:r w:rsidR="00176877">
        <w:rPr>
          <w:rStyle w:val="Robust"/>
          <w:sz w:val="22"/>
          <w:szCs w:val="22"/>
        </w:rPr>
        <w:t>December</w:t>
      </w:r>
      <w:r w:rsidRPr="00E35964">
        <w:rPr>
          <w:rStyle w:val="Robust"/>
          <w:sz w:val="22"/>
          <w:szCs w:val="22"/>
        </w:rPr>
        <w:t xml:space="preserve"> </w:t>
      </w:r>
      <w:r w:rsidR="000046A9">
        <w:rPr>
          <w:rStyle w:val="Robust"/>
          <w:sz w:val="22"/>
          <w:szCs w:val="22"/>
        </w:rPr>
        <w:t>22</w:t>
      </w:r>
      <w:r w:rsidRPr="00E35964">
        <w:rPr>
          <w:rStyle w:val="Robust"/>
          <w:sz w:val="22"/>
          <w:szCs w:val="22"/>
        </w:rPr>
        <w:t xml:space="preserve">, 2025 </w:t>
      </w:r>
      <w:r w:rsidRPr="00E35964">
        <w:rPr>
          <w:rStyle w:val="Robust"/>
          <w:sz w:val="22"/>
          <w:szCs w:val="22"/>
        </w:rPr>
        <w:br/>
        <w:t>local time 1</w:t>
      </w:r>
      <w:r w:rsidR="001930AF">
        <w:rPr>
          <w:rStyle w:val="Robust"/>
          <w:sz w:val="22"/>
          <w:szCs w:val="22"/>
        </w:rPr>
        <w:t>4</w:t>
      </w:r>
      <w:r w:rsidRPr="00E35964">
        <w:rPr>
          <w:rStyle w:val="Robust"/>
          <w:sz w:val="22"/>
          <w:szCs w:val="22"/>
        </w:rPr>
        <w:t xml:space="preserve">:00: </w:t>
      </w:r>
    </w:p>
    <w:p w14:paraId="486E0CCC" w14:textId="77777777" w:rsidR="00AC5E83" w:rsidRPr="007C201A" w:rsidRDefault="00AC5E83" w:rsidP="00AC5E83">
      <w:pPr>
        <w:outlineLvl w:val="0"/>
        <w:rPr>
          <w:rStyle w:val="Robust"/>
          <w:sz w:val="22"/>
          <w:szCs w:val="22"/>
          <w:u w:val="single"/>
          <w:lang w:val="en-GB"/>
        </w:rPr>
      </w:pPr>
      <w:r>
        <w:rPr>
          <w:rStyle w:val="Robust"/>
          <w:sz w:val="22"/>
          <w:szCs w:val="22"/>
        </w:rPr>
        <w:br/>
      </w:r>
      <w:r w:rsidRPr="007C201A">
        <w:rPr>
          <w:rStyle w:val="Robust"/>
          <w:sz w:val="22"/>
          <w:szCs w:val="22"/>
          <w:u w:val="single"/>
        </w:rPr>
        <w:t>IV.2.6) Minimum time frame in which the tenderer must maintain the bid</w:t>
      </w:r>
    </w:p>
    <w:p w14:paraId="40EDD224" w14:textId="7CF5544B" w:rsidR="00AC5E83" w:rsidRPr="00F82AA4" w:rsidRDefault="00AC5E83" w:rsidP="00AC5E83">
      <w:pPr>
        <w:outlineLvl w:val="0"/>
        <w:rPr>
          <w:rStyle w:val="Robust"/>
          <w:b w:val="0"/>
          <w:sz w:val="22"/>
          <w:szCs w:val="22"/>
          <w:lang w:val="en-GB"/>
        </w:rPr>
      </w:pPr>
      <w:r w:rsidRPr="00E35964">
        <w:rPr>
          <w:rStyle w:val="Robust"/>
          <w:sz w:val="22"/>
          <w:szCs w:val="22"/>
        </w:rPr>
        <w:t>Duration in months: 3 months (from the date mentioned for receipt of the offer)</w:t>
      </w:r>
    </w:p>
    <w:p w14:paraId="7EA3755B" w14:textId="77777777" w:rsidR="00AC5E83" w:rsidRPr="007C201A" w:rsidRDefault="00AC5E83" w:rsidP="00AC5E83">
      <w:pPr>
        <w:outlineLvl w:val="0"/>
        <w:rPr>
          <w:rStyle w:val="Robust"/>
          <w:sz w:val="22"/>
          <w:szCs w:val="22"/>
          <w:u w:val="single"/>
          <w:lang w:val="en-GB"/>
        </w:rPr>
      </w:pPr>
      <w:r>
        <w:rPr>
          <w:rStyle w:val="Robust"/>
          <w:sz w:val="22"/>
          <w:szCs w:val="22"/>
          <w:u w:val="single"/>
        </w:rPr>
        <w:br/>
      </w:r>
      <w:r w:rsidRPr="007C201A">
        <w:rPr>
          <w:rStyle w:val="Robust"/>
          <w:sz w:val="22"/>
          <w:szCs w:val="22"/>
          <w:u w:val="single"/>
        </w:rPr>
        <w:t xml:space="preserve">IV.2.7) Conditions for the opening of tenders </w:t>
      </w:r>
    </w:p>
    <w:p w14:paraId="5FDA32CC" w14:textId="5E4E21B9" w:rsidR="00AC5E83" w:rsidRPr="00D225CC" w:rsidRDefault="00AC5E83" w:rsidP="00AC5E83">
      <w:pPr>
        <w:outlineLvl w:val="0"/>
        <w:rPr>
          <w:lang w:val="en-GB"/>
        </w:rPr>
      </w:pPr>
      <w:r w:rsidRPr="00E35964">
        <w:rPr>
          <w:rStyle w:val="Robust"/>
          <w:sz w:val="22"/>
          <w:szCs w:val="22"/>
        </w:rPr>
        <w:t xml:space="preserve">Date: </w:t>
      </w:r>
      <w:r w:rsidR="000046A9">
        <w:rPr>
          <w:rStyle w:val="Robust"/>
          <w:sz w:val="22"/>
          <w:szCs w:val="22"/>
        </w:rPr>
        <w:t>22</w:t>
      </w:r>
      <w:r w:rsidRPr="00E35964">
        <w:rPr>
          <w:rStyle w:val="Robust"/>
          <w:sz w:val="22"/>
          <w:szCs w:val="22"/>
        </w:rPr>
        <w:t>.1</w:t>
      </w:r>
      <w:r w:rsidR="00176877">
        <w:rPr>
          <w:rStyle w:val="Robust"/>
          <w:sz w:val="22"/>
          <w:szCs w:val="22"/>
        </w:rPr>
        <w:t>2</w:t>
      </w:r>
      <w:r w:rsidRPr="00E35964">
        <w:rPr>
          <w:rStyle w:val="Robust"/>
          <w:sz w:val="22"/>
          <w:szCs w:val="22"/>
        </w:rPr>
        <w:t>.2025</w:t>
      </w:r>
      <w:r w:rsidRPr="00E35964">
        <w:rPr>
          <w:rStyle w:val="Robust"/>
          <w:sz w:val="22"/>
          <w:szCs w:val="22"/>
          <w:u w:val="single"/>
        </w:rPr>
        <w:br/>
      </w:r>
      <w:r w:rsidRPr="00E35964">
        <w:rPr>
          <w:rStyle w:val="Robust"/>
          <w:sz w:val="22"/>
          <w:szCs w:val="22"/>
        </w:rPr>
        <w:t>Local time</w:t>
      </w:r>
      <w:r w:rsidR="001930AF">
        <w:rPr>
          <w:rStyle w:val="Robust"/>
          <w:sz w:val="22"/>
          <w:szCs w:val="22"/>
        </w:rPr>
        <w:t>:</w:t>
      </w:r>
      <w:r w:rsidRPr="00E35964">
        <w:rPr>
          <w:rStyle w:val="Robust"/>
          <w:sz w:val="22"/>
          <w:szCs w:val="22"/>
        </w:rPr>
        <w:t xml:space="preserve"> 1</w:t>
      </w:r>
      <w:r w:rsidR="001930AF">
        <w:rPr>
          <w:rStyle w:val="Robust"/>
          <w:sz w:val="22"/>
          <w:szCs w:val="22"/>
        </w:rPr>
        <w:t>4</w:t>
      </w:r>
      <w:r w:rsidRPr="00E35964">
        <w:rPr>
          <w:rStyle w:val="Robust"/>
          <w:sz w:val="22"/>
          <w:szCs w:val="22"/>
        </w:rPr>
        <w:t>:</w:t>
      </w:r>
      <w:r w:rsidR="001930AF">
        <w:rPr>
          <w:rStyle w:val="Robust"/>
          <w:sz w:val="22"/>
          <w:szCs w:val="22"/>
        </w:rPr>
        <w:t>3</w:t>
      </w:r>
      <w:r w:rsidRPr="00E35964">
        <w:rPr>
          <w:rStyle w:val="Robust"/>
          <w:sz w:val="22"/>
          <w:szCs w:val="22"/>
        </w:rPr>
        <w:t xml:space="preserve">0 </w:t>
      </w:r>
      <w:r>
        <w:rPr>
          <w:rStyle w:val="Robust"/>
          <w:sz w:val="22"/>
          <w:szCs w:val="22"/>
          <w:u w:val="single"/>
        </w:rPr>
        <w:br/>
      </w:r>
      <w:r w:rsidRPr="00E35964">
        <w:rPr>
          <w:rStyle w:val="Robust"/>
          <w:sz w:val="22"/>
          <w:szCs w:val="22"/>
        </w:rPr>
        <w:t xml:space="preserve">Place: R. Moldova, </w:t>
      </w:r>
      <w:proofErr w:type="spellStart"/>
      <w:r w:rsidRPr="00E35964">
        <w:rPr>
          <w:rStyle w:val="Robust"/>
          <w:sz w:val="22"/>
          <w:szCs w:val="22"/>
        </w:rPr>
        <w:t>mun</w:t>
      </w:r>
      <w:proofErr w:type="spellEnd"/>
      <w:r w:rsidRPr="00E35964">
        <w:rPr>
          <w:rStyle w:val="Robust"/>
          <w:sz w:val="22"/>
          <w:szCs w:val="22"/>
        </w:rPr>
        <w:t xml:space="preserve">. Chisinau 69 </w:t>
      </w:r>
      <w:proofErr w:type="spellStart"/>
      <w:r w:rsidRPr="00E35964">
        <w:rPr>
          <w:rStyle w:val="Robust"/>
          <w:sz w:val="22"/>
          <w:szCs w:val="22"/>
        </w:rPr>
        <w:t>Gh</w:t>
      </w:r>
      <w:proofErr w:type="spellEnd"/>
      <w:r w:rsidRPr="00E35964">
        <w:rPr>
          <w:rStyle w:val="Robust"/>
          <w:sz w:val="22"/>
          <w:szCs w:val="22"/>
        </w:rPr>
        <w:t xml:space="preserve"> </w:t>
      </w:r>
      <w:proofErr w:type="spellStart"/>
      <w:r w:rsidRPr="00E35964">
        <w:rPr>
          <w:rStyle w:val="Robust"/>
          <w:sz w:val="22"/>
          <w:szCs w:val="22"/>
        </w:rPr>
        <w:t>Asachi</w:t>
      </w:r>
      <w:proofErr w:type="spellEnd"/>
      <w:r w:rsidRPr="00E35964">
        <w:rPr>
          <w:rStyle w:val="Robust"/>
          <w:sz w:val="22"/>
          <w:szCs w:val="22"/>
        </w:rPr>
        <w:t xml:space="preserve"> Street, headquarters of the General Inspectorate for Emergency Situations of the Ministry of Internal Affairs, office no.5</w:t>
      </w:r>
      <w:r w:rsidRPr="00F82AA4">
        <w:rPr>
          <w:rStyle w:val="Robust"/>
          <w:sz w:val="22"/>
          <w:szCs w:val="22"/>
        </w:rPr>
        <w:br/>
      </w:r>
    </w:p>
    <w:p w14:paraId="50DB96FF" w14:textId="77777777" w:rsidR="00AC5E83" w:rsidRPr="00265985" w:rsidRDefault="00AC5E83" w:rsidP="00AC5E83">
      <w:pPr>
        <w:rPr>
          <w:lang w:val="en-GB"/>
        </w:rPr>
      </w:pPr>
    </w:p>
    <w:p w14:paraId="72A0A8F9" w14:textId="77777777" w:rsidR="00AC5E83" w:rsidRPr="00571687" w:rsidRDefault="00AC5E83">
      <w:pPr>
        <w:jc w:val="center"/>
        <w:rPr>
          <w:rStyle w:val="Robust"/>
          <w:sz w:val="28"/>
          <w:szCs w:val="28"/>
          <w:lang w:val="en-GB"/>
        </w:rPr>
      </w:pPr>
    </w:p>
    <w:sectPr w:rsidR="00AC5E83" w:rsidRPr="00571687" w:rsidSect="00BC34CF">
      <w:footerReference w:type="default" r:id="rId11"/>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BCA30" w14:textId="77777777" w:rsidR="00052A67" w:rsidRDefault="00052A67">
      <w:r>
        <w:separator/>
      </w:r>
    </w:p>
  </w:endnote>
  <w:endnote w:type="continuationSeparator" w:id="0">
    <w:p w14:paraId="45F33E0F" w14:textId="77777777" w:rsidR="00052A67" w:rsidRDefault="0005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regular">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8561" w14:textId="62C5B4BC" w:rsidR="00B22E7F" w:rsidRDefault="004F74D1" w:rsidP="003D4201">
    <w:pPr>
      <w:pStyle w:val="Subsol"/>
      <w:tabs>
        <w:tab w:val="clear" w:pos="4320"/>
        <w:tab w:val="clear" w:pos="8640"/>
        <w:tab w:val="right" w:pos="9214"/>
      </w:tabs>
      <w:spacing w:before="120" w:after="0"/>
      <w:rPr>
        <w:b/>
        <w:sz w:val="18"/>
        <w:szCs w:val="18"/>
        <w:lang w:val="en-GB"/>
      </w:rPr>
    </w:pPr>
    <w:r>
      <w:rPr>
        <w:b/>
        <w:sz w:val="18"/>
        <w:szCs w:val="18"/>
        <w:lang w:val="en-GB"/>
      </w:rPr>
      <w:t>202</w:t>
    </w:r>
    <w:r w:rsidR="002B74FD">
      <w:rPr>
        <w:b/>
        <w:sz w:val="18"/>
        <w:szCs w:val="18"/>
        <w:lang w:val="en-GB"/>
      </w:rPr>
      <w:t>1</w:t>
    </w:r>
    <w:r w:rsidR="00736AA6">
      <w:rPr>
        <w:b/>
        <w:sz w:val="18"/>
        <w:szCs w:val="18"/>
        <w:lang w:val="en-GB"/>
      </w:rPr>
      <w:t>.1</w:t>
    </w:r>
  </w:p>
  <w:p w14:paraId="0057A180" w14:textId="70847658" w:rsidR="00EF0A8C" w:rsidRDefault="00B22E7F" w:rsidP="009F128B">
    <w:pPr>
      <w:pStyle w:val="Subsol"/>
      <w:tabs>
        <w:tab w:val="clear" w:pos="4320"/>
        <w:tab w:val="clear" w:pos="8640"/>
        <w:tab w:val="right" w:pos="9214"/>
      </w:tabs>
      <w:spacing w:before="0" w:after="0"/>
      <w:rPr>
        <w:b/>
        <w:sz w:val="20"/>
        <w:lang w:val="en-GB"/>
      </w:rPr>
    </w:pPr>
    <w:r w:rsidRPr="00B22E7F">
      <w:rPr>
        <w:sz w:val="18"/>
        <w:szCs w:val="18"/>
        <w:lang w:val="en-GB"/>
      </w:rPr>
      <w:fldChar w:fldCharType="begin"/>
    </w:r>
    <w:r w:rsidRPr="00B22E7F">
      <w:rPr>
        <w:sz w:val="18"/>
        <w:szCs w:val="18"/>
        <w:lang w:val="en-GB"/>
      </w:rPr>
      <w:instrText xml:space="preserve"> FILENAME   \* MERGEFORMAT </w:instrText>
    </w:r>
    <w:r w:rsidRPr="00B22E7F">
      <w:rPr>
        <w:sz w:val="18"/>
        <w:szCs w:val="18"/>
        <w:lang w:val="en-GB"/>
      </w:rPr>
      <w:fldChar w:fldCharType="separate"/>
    </w:r>
    <w:r w:rsidR="008C2513">
      <w:rPr>
        <w:noProof/>
        <w:sz w:val="18"/>
        <w:szCs w:val="18"/>
        <w:lang w:val="en-GB"/>
      </w:rPr>
      <w:t>a5e_contractnotice_enotices_en.doc</w:t>
    </w:r>
    <w:r w:rsidRPr="00B22E7F">
      <w:rPr>
        <w:sz w:val="18"/>
        <w:szCs w:val="18"/>
        <w:lang w:val="en-GB"/>
      </w:rPr>
      <w:fldChar w:fldCharType="end"/>
    </w:r>
    <w:r w:rsidR="00EF0A8C">
      <w:rPr>
        <w:sz w:val="18"/>
        <w:szCs w:val="18"/>
        <w:lang w:val="en-GB"/>
      </w:rPr>
      <w:tab/>
    </w:r>
    <w:r w:rsidR="00EF0A8C" w:rsidRPr="009F128B">
      <w:rPr>
        <w:sz w:val="18"/>
        <w:szCs w:val="18"/>
        <w:lang w:val="en-GB"/>
      </w:rPr>
      <w:t xml:space="preserve">Page </w:t>
    </w:r>
    <w:r w:rsidR="00EF0A8C" w:rsidRPr="009F128B">
      <w:rPr>
        <w:rStyle w:val="Numrdepagin"/>
        <w:sz w:val="18"/>
        <w:szCs w:val="18"/>
      </w:rPr>
      <w:fldChar w:fldCharType="begin"/>
    </w:r>
    <w:r w:rsidR="00EF0A8C" w:rsidRPr="009F128B">
      <w:rPr>
        <w:rStyle w:val="Numrdepagin"/>
        <w:sz w:val="18"/>
        <w:szCs w:val="18"/>
      </w:rPr>
      <w:instrText xml:space="preserve"> PAGE </w:instrText>
    </w:r>
    <w:r w:rsidR="00EF0A8C" w:rsidRPr="009F128B">
      <w:rPr>
        <w:rStyle w:val="Numrdepagin"/>
        <w:sz w:val="18"/>
        <w:szCs w:val="18"/>
      </w:rPr>
      <w:fldChar w:fldCharType="separate"/>
    </w:r>
    <w:r w:rsidR="00736AA6">
      <w:rPr>
        <w:rStyle w:val="Numrdepagin"/>
        <w:noProof/>
        <w:sz w:val="18"/>
        <w:szCs w:val="18"/>
      </w:rPr>
      <w:t>3</w:t>
    </w:r>
    <w:r w:rsidR="00EF0A8C" w:rsidRPr="009F128B">
      <w:rPr>
        <w:rStyle w:val="Numrdepagin"/>
        <w:sz w:val="18"/>
        <w:szCs w:val="18"/>
      </w:rPr>
      <w:fldChar w:fldCharType="end"/>
    </w:r>
    <w:r>
      <w:rPr>
        <w:rStyle w:val="Numrdepagin"/>
        <w:sz w:val="18"/>
        <w:szCs w:val="18"/>
      </w:rPr>
      <w:t xml:space="preserve"> of </w:t>
    </w:r>
    <w:r>
      <w:rPr>
        <w:rStyle w:val="Numrdepagin"/>
        <w:sz w:val="18"/>
        <w:szCs w:val="18"/>
      </w:rPr>
      <w:fldChar w:fldCharType="begin"/>
    </w:r>
    <w:r>
      <w:rPr>
        <w:rStyle w:val="Numrdepagin"/>
        <w:sz w:val="18"/>
        <w:szCs w:val="18"/>
      </w:rPr>
      <w:instrText xml:space="preserve"> NUMPAGES   \* MERGEFORMAT </w:instrText>
    </w:r>
    <w:r>
      <w:rPr>
        <w:rStyle w:val="Numrdepagin"/>
        <w:sz w:val="18"/>
        <w:szCs w:val="18"/>
      </w:rPr>
      <w:fldChar w:fldCharType="separate"/>
    </w:r>
    <w:r w:rsidR="00736AA6">
      <w:rPr>
        <w:rStyle w:val="Numrdepagin"/>
        <w:noProof/>
        <w:sz w:val="18"/>
        <w:szCs w:val="18"/>
      </w:rPr>
      <w:t>3</w:t>
    </w:r>
    <w:r>
      <w:rPr>
        <w:rStyle w:val="Numrdepagi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A7D16" w14:textId="77777777" w:rsidR="00052A67" w:rsidRDefault="00052A67">
      <w:r>
        <w:separator/>
      </w:r>
    </w:p>
  </w:footnote>
  <w:footnote w:type="continuationSeparator" w:id="0">
    <w:p w14:paraId="1BD5EC84" w14:textId="77777777" w:rsidR="00052A67" w:rsidRDefault="00052A67">
      <w:r>
        <w:continuationSeparator/>
      </w:r>
    </w:p>
  </w:footnote>
  <w:footnote w:id="1">
    <w:p w14:paraId="133C9B24" w14:textId="77777777" w:rsidR="00AC5E83" w:rsidRPr="000617C9" w:rsidRDefault="00AC5E83" w:rsidP="00AC5E83">
      <w:pPr>
        <w:pStyle w:val="Textnotdesubsol"/>
      </w:pPr>
      <w:r>
        <w:rPr>
          <w:rStyle w:val="Referinnotdesubsol"/>
        </w:rPr>
        <w:footnoteRef/>
      </w:r>
      <w:r>
        <w:t xml:space="preserve"> </w:t>
      </w:r>
      <w:r w:rsidRPr="008F66E7">
        <w:rPr>
          <w:sz w:val="18"/>
          <w:szCs w:val="18"/>
        </w:rPr>
        <w:t xml:space="preserve">The Common Procurement Vocabulary (CPV) is the mandatory reference nomenclature applicable to public procurement contracts. The list of CPV codes is available at:  </w:t>
      </w:r>
      <w:hyperlink r:id="rId1" w:history="1">
        <w:r w:rsidRPr="008F66E7">
          <w:rPr>
            <w:rStyle w:val="Hyperlink"/>
            <w:sz w:val="18"/>
            <w:szCs w:val="18"/>
          </w:rPr>
          <w:t>http://simap.ted.europa.eu/en/web/simap/cpv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42739"/>
    <w:multiLevelType w:val="multilevel"/>
    <w:tmpl w:val="F23C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7C55ED"/>
    <w:multiLevelType w:val="multilevel"/>
    <w:tmpl w:val="65F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651EF"/>
    <w:multiLevelType w:val="hybridMultilevel"/>
    <w:tmpl w:val="EB5A6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850C97"/>
    <w:multiLevelType w:val="multilevel"/>
    <w:tmpl w:val="7AB4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90BA8"/>
    <w:multiLevelType w:val="multilevel"/>
    <w:tmpl w:val="BEF0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A7523"/>
    <w:multiLevelType w:val="multilevel"/>
    <w:tmpl w:val="0B00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5458B3"/>
    <w:multiLevelType w:val="multilevel"/>
    <w:tmpl w:val="2E6A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66C0D"/>
    <w:multiLevelType w:val="multilevel"/>
    <w:tmpl w:val="E3C4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CC2CB1"/>
    <w:multiLevelType w:val="multilevel"/>
    <w:tmpl w:val="727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7"/>
  </w:num>
  <w:num w:numId="5">
    <w:abstractNumId w:val="9"/>
  </w:num>
  <w:num w:numId="6">
    <w:abstractNumId w:val="4"/>
  </w:num>
  <w:num w:numId="7">
    <w:abstractNumId w:val="2"/>
  </w:num>
  <w:num w:numId="8">
    <w:abstractNumId w:val="0"/>
  </w:num>
  <w:num w:numId="9">
    <w:abstractNumId w:val="6"/>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50FF8"/>
    <w:rsid w:val="00002D29"/>
    <w:rsid w:val="0000338D"/>
    <w:rsid w:val="000046A9"/>
    <w:rsid w:val="0000712E"/>
    <w:rsid w:val="00010B32"/>
    <w:rsid w:val="00012223"/>
    <w:rsid w:val="00012AF1"/>
    <w:rsid w:val="00013EB7"/>
    <w:rsid w:val="00013F0F"/>
    <w:rsid w:val="00014B76"/>
    <w:rsid w:val="00017E7C"/>
    <w:rsid w:val="0002004D"/>
    <w:rsid w:val="00022D5F"/>
    <w:rsid w:val="00024DAC"/>
    <w:rsid w:val="0003004C"/>
    <w:rsid w:val="00030ABC"/>
    <w:rsid w:val="000333FE"/>
    <w:rsid w:val="0003427A"/>
    <w:rsid w:val="00034D18"/>
    <w:rsid w:val="00035D4D"/>
    <w:rsid w:val="00045619"/>
    <w:rsid w:val="00045773"/>
    <w:rsid w:val="000503A2"/>
    <w:rsid w:val="000522D4"/>
    <w:rsid w:val="00052A67"/>
    <w:rsid w:val="000617C9"/>
    <w:rsid w:val="0006203C"/>
    <w:rsid w:val="00063589"/>
    <w:rsid w:val="00063FB5"/>
    <w:rsid w:val="000677C2"/>
    <w:rsid w:val="00075FAC"/>
    <w:rsid w:val="00076F64"/>
    <w:rsid w:val="0008316A"/>
    <w:rsid w:val="00087A72"/>
    <w:rsid w:val="00095030"/>
    <w:rsid w:val="000950D5"/>
    <w:rsid w:val="000A3758"/>
    <w:rsid w:val="000C1522"/>
    <w:rsid w:val="000C5B55"/>
    <w:rsid w:val="000E5BBC"/>
    <w:rsid w:val="000E767D"/>
    <w:rsid w:val="000F0F6C"/>
    <w:rsid w:val="000F4D57"/>
    <w:rsid w:val="000F5DEF"/>
    <w:rsid w:val="0010162C"/>
    <w:rsid w:val="00105302"/>
    <w:rsid w:val="00110A94"/>
    <w:rsid w:val="00112210"/>
    <w:rsid w:val="00115D2F"/>
    <w:rsid w:val="00120298"/>
    <w:rsid w:val="00122B86"/>
    <w:rsid w:val="00126E99"/>
    <w:rsid w:val="00135FF0"/>
    <w:rsid w:val="0014405E"/>
    <w:rsid w:val="00144547"/>
    <w:rsid w:val="00146E34"/>
    <w:rsid w:val="0015107D"/>
    <w:rsid w:val="00155BF4"/>
    <w:rsid w:val="00162F40"/>
    <w:rsid w:val="001661F7"/>
    <w:rsid w:val="001707D5"/>
    <w:rsid w:val="0017184C"/>
    <w:rsid w:val="00176877"/>
    <w:rsid w:val="00180D47"/>
    <w:rsid w:val="00181270"/>
    <w:rsid w:val="00192D12"/>
    <w:rsid w:val="001930AF"/>
    <w:rsid w:val="001951FE"/>
    <w:rsid w:val="00196F2A"/>
    <w:rsid w:val="001A0C86"/>
    <w:rsid w:val="001A136D"/>
    <w:rsid w:val="001A1BE1"/>
    <w:rsid w:val="001A68EA"/>
    <w:rsid w:val="001B13B1"/>
    <w:rsid w:val="001B2571"/>
    <w:rsid w:val="001C3A54"/>
    <w:rsid w:val="001C64F1"/>
    <w:rsid w:val="001D19A6"/>
    <w:rsid w:val="001D55F7"/>
    <w:rsid w:val="001D5DEF"/>
    <w:rsid w:val="001E0BA5"/>
    <w:rsid w:val="001E50A2"/>
    <w:rsid w:val="001F08D0"/>
    <w:rsid w:val="001F120E"/>
    <w:rsid w:val="001F1546"/>
    <w:rsid w:val="001F30ED"/>
    <w:rsid w:val="001F47F3"/>
    <w:rsid w:val="001F5D80"/>
    <w:rsid w:val="00201320"/>
    <w:rsid w:val="00210466"/>
    <w:rsid w:val="00221CCE"/>
    <w:rsid w:val="00226829"/>
    <w:rsid w:val="00231106"/>
    <w:rsid w:val="00233B9D"/>
    <w:rsid w:val="00233DDA"/>
    <w:rsid w:val="00250A28"/>
    <w:rsid w:val="00266EB9"/>
    <w:rsid w:val="00282863"/>
    <w:rsid w:val="00290440"/>
    <w:rsid w:val="00290EBC"/>
    <w:rsid w:val="002976DE"/>
    <w:rsid w:val="00297B55"/>
    <w:rsid w:val="002A254C"/>
    <w:rsid w:val="002B74FD"/>
    <w:rsid w:val="002C26E6"/>
    <w:rsid w:val="002C2D95"/>
    <w:rsid w:val="002D2274"/>
    <w:rsid w:val="002D266E"/>
    <w:rsid w:val="002D4121"/>
    <w:rsid w:val="002D7249"/>
    <w:rsid w:val="002E1B83"/>
    <w:rsid w:val="002E7D33"/>
    <w:rsid w:val="002F47F3"/>
    <w:rsid w:val="002F58EB"/>
    <w:rsid w:val="0030090E"/>
    <w:rsid w:val="0030318D"/>
    <w:rsid w:val="003045C3"/>
    <w:rsid w:val="00306BCE"/>
    <w:rsid w:val="00313118"/>
    <w:rsid w:val="003232ED"/>
    <w:rsid w:val="003262FC"/>
    <w:rsid w:val="00330261"/>
    <w:rsid w:val="00332F90"/>
    <w:rsid w:val="003378F6"/>
    <w:rsid w:val="00342E7F"/>
    <w:rsid w:val="00343271"/>
    <w:rsid w:val="00345518"/>
    <w:rsid w:val="00346B3B"/>
    <w:rsid w:val="00347673"/>
    <w:rsid w:val="0036159C"/>
    <w:rsid w:val="003717BC"/>
    <w:rsid w:val="00371FD9"/>
    <w:rsid w:val="00372452"/>
    <w:rsid w:val="0038633F"/>
    <w:rsid w:val="00386E96"/>
    <w:rsid w:val="0038796E"/>
    <w:rsid w:val="003947E7"/>
    <w:rsid w:val="00397073"/>
    <w:rsid w:val="00397634"/>
    <w:rsid w:val="003A2E1C"/>
    <w:rsid w:val="003A4357"/>
    <w:rsid w:val="003A7E14"/>
    <w:rsid w:val="003B3E06"/>
    <w:rsid w:val="003B43A8"/>
    <w:rsid w:val="003B55F6"/>
    <w:rsid w:val="003B71D0"/>
    <w:rsid w:val="003C10AA"/>
    <w:rsid w:val="003C2D69"/>
    <w:rsid w:val="003C555B"/>
    <w:rsid w:val="003D195A"/>
    <w:rsid w:val="003D2ADD"/>
    <w:rsid w:val="003D4201"/>
    <w:rsid w:val="003D6B49"/>
    <w:rsid w:val="003E3A87"/>
    <w:rsid w:val="003F32FF"/>
    <w:rsid w:val="003F554E"/>
    <w:rsid w:val="0040360C"/>
    <w:rsid w:val="0040443B"/>
    <w:rsid w:val="0042033D"/>
    <w:rsid w:val="00424124"/>
    <w:rsid w:val="00426624"/>
    <w:rsid w:val="0043190A"/>
    <w:rsid w:val="00434A54"/>
    <w:rsid w:val="0043637D"/>
    <w:rsid w:val="004405D2"/>
    <w:rsid w:val="00447D77"/>
    <w:rsid w:val="0045124A"/>
    <w:rsid w:val="00452327"/>
    <w:rsid w:val="0045494F"/>
    <w:rsid w:val="00470018"/>
    <w:rsid w:val="00471180"/>
    <w:rsid w:val="00473883"/>
    <w:rsid w:val="0047646C"/>
    <w:rsid w:val="00476D80"/>
    <w:rsid w:val="00477B20"/>
    <w:rsid w:val="00482B9A"/>
    <w:rsid w:val="00484BEE"/>
    <w:rsid w:val="004853B9"/>
    <w:rsid w:val="004901C2"/>
    <w:rsid w:val="004957E5"/>
    <w:rsid w:val="004A079B"/>
    <w:rsid w:val="004B0F8B"/>
    <w:rsid w:val="004B5DCF"/>
    <w:rsid w:val="004C0DB3"/>
    <w:rsid w:val="004C49B2"/>
    <w:rsid w:val="004C68B3"/>
    <w:rsid w:val="004E083B"/>
    <w:rsid w:val="004E1482"/>
    <w:rsid w:val="004E29A2"/>
    <w:rsid w:val="004E69A4"/>
    <w:rsid w:val="004F00C7"/>
    <w:rsid w:val="004F2332"/>
    <w:rsid w:val="004F34C4"/>
    <w:rsid w:val="004F3BBC"/>
    <w:rsid w:val="004F4A09"/>
    <w:rsid w:val="004F74D1"/>
    <w:rsid w:val="00500002"/>
    <w:rsid w:val="00500794"/>
    <w:rsid w:val="005012DF"/>
    <w:rsid w:val="00502217"/>
    <w:rsid w:val="00503CD9"/>
    <w:rsid w:val="005046CD"/>
    <w:rsid w:val="00505437"/>
    <w:rsid w:val="005070DB"/>
    <w:rsid w:val="00507BFE"/>
    <w:rsid w:val="00511119"/>
    <w:rsid w:val="0051514D"/>
    <w:rsid w:val="00516C38"/>
    <w:rsid w:val="00523826"/>
    <w:rsid w:val="00524367"/>
    <w:rsid w:val="00533CE6"/>
    <w:rsid w:val="0054183B"/>
    <w:rsid w:val="0055037B"/>
    <w:rsid w:val="005558E0"/>
    <w:rsid w:val="0055710A"/>
    <w:rsid w:val="0056183E"/>
    <w:rsid w:val="00565A69"/>
    <w:rsid w:val="00571687"/>
    <w:rsid w:val="00571989"/>
    <w:rsid w:val="00572F15"/>
    <w:rsid w:val="00581953"/>
    <w:rsid w:val="00583EC9"/>
    <w:rsid w:val="00584BF4"/>
    <w:rsid w:val="00584D96"/>
    <w:rsid w:val="005908F0"/>
    <w:rsid w:val="00590ADB"/>
    <w:rsid w:val="005B13A4"/>
    <w:rsid w:val="005B2FB5"/>
    <w:rsid w:val="005B35A2"/>
    <w:rsid w:val="005B3ED3"/>
    <w:rsid w:val="005B48D0"/>
    <w:rsid w:val="005B4F80"/>
    <w:rsid w:val="005C632E"/>
    <w:rsid w:val="005D0AD5"/>
    <w:rsid w:val="005D3D85"/>
    <w:rsid w:val="005D720E"/>
    <w:rsid w:val="005E3AE0"/>
    <w:rsid w:val="005E3EEE"/>
    <w:rsid w:val="005E53BD"/>
    <w:rsid w:val="005F3AF7"/>
    <w:rsid w:val="005F776D"/>
    <w:rsid w:val="00603F87"/>
    <w:rsid w:val="0061336A"/>
    <w:rsid w:val="00626BBA"/>
    <w:rsid w:val="00627FB4"/>
    <w:rsid w:val="00637237"/>
    <w:rsid w:val="0064066F"/>
    <w:rsid w:val="0064390B"/>
    <w:rsid w:val="00651CAF"/>
    <w:rsid w:val="00652EFC"/>
    <w:rsid w:val="006552B5"/>
    <w:rsid w:val="00663C6D"/>
    <w:rsid w:val="006738B9"/>
    <w:rsid w:val="00674F9C"/>
    <w:rsid w:val="0067554A"/>
    <w:rsid w:val="00675EEE"/>
    <w:rsid w:val="006770CA"/>
    <w:rsid w:val="00686C3A"/>
    <w:rsid w:val="0068769C"/>
    <w:rsid w:val="00697F82"/>
    <w:rsid w:val="006A0175"/>
    <w:rsid w:val="006A0598"/>
    <w:rsid w:val="006A2F21"/>
    <w:rsid w:val="006A3716"/>
    <w:rsid w:val="006A66DA"/>
    <w:rsid w:val="006A7394"/>
    <w:rsid w:val="006B2F6C"/>
    <w:rsid w:val="006B3D18"/>
    <w:rsid w:val="006B59B9"/>
    <w:rsid w:val="006C0693"/>
    <w:rsid w:val="006C0EB6"/>
    <w:rsid w:val="006C0F37"/>
    <w:rsid w:val="006D6080"/>
    <w:rsid w:val="006E3377"/>
    <w:rsid w:val="006E625F"/>
    <w:rsid w:val="006F2947"/>
    <w:rsid w:val="006F2AE0"/>
    <w:rsid w:val="006F532D"/>
    <w:rsid w:val="006F5FD0"/>
    <w:rsid w:val="00703300"/>
    <w:rsid w:val="00710A38"/>
    <w:rsid w:val="00711589"/>
    <w:rsid w:val="00711AAE"/>
    <w:rsid w:val="007121FB"/>
    <w:rsid w:val="0071287A"/>
    <w:rsid w:val="007129D6"/>
    <w:rsid w:val="00712CB3"/>
    <w:rsid w:val="00715755"/>
    <w:rsid w:val="00727652"/>
    <w:rsid w:val="00735C56"/>
    <w:rsid w:val="00736AA6"/>
    <w:rsid w:val="00745DBA"/>
    <w:rsid w:val="00746DDB"/>
    <w:rsid w:val="007471C5"/>
    <w:rsid w:val="00750592"/>
    <w:rsid w:val="00750FF8"/>
    <w:rsid w:val="00752A71"/>
    <w:rsid w:val="00753FC2"/>
    <w:rsid w:val="00756C38"/>
    <w:rsid w:val="00761673"/>
    <w:rsid w:val="00761893"/>
    <w:rsid w:val="007653F4"/>
    <w:rsid w:val="007727F3"/>
    <w:rsid w:val="00783B39"/>
    <w:rsid w:val="007955F2"/>
    <w:rsid w:val="00795842"/>
    <w:rsid w:val="00795E5F"/>
    <w:rsid w:val="007A04AC"/>
    <w:rsid w:val="007C136C"/>
    <w:rsid w:val="007C201A"/>
    <w:rsid w:val="007C352C"/>
    <w:rsid w:val="007C593F"/>
    <w:rsid w:val="007D29AC"/>
    <w:rsid w:val="007D2FCB"/>
    <w:rsid w:val="007D6292"/>
    <w:rsid w:val="007D761E"/>
    <w:rsid w:val="007E063C"/>
    <w:rsid w:val="007E153C"/>
    <w:rsid w:val="007E5045"/>
    <w:rsid w:val="007E53DA"/>
    <w:rsid w:val="007F095B"/>
    <w:rsid w:val="007F0984"/>
    <w:rsid w:val="007F1048"/>
    <w:rsid w:val="007F5383"/>
    <w:rsid w:val="008001B4"/>
    <w:rsid w:val="00800827"/>
    <w:rsid w:val="008162F6"/>
    <w:rsid w:val="008272C0"/>
    <w:rsid w:val="008323D3"/>
    <w:rsid w:val="008351FF"/>
    <w:rsid w:val="00845D2E"/>
    <w:rsid w:val="00851792"/>
    <w:rsid w:val="00853875"/>
    <w:rsid w:val="00855235"/>
    <w:rsid w:val="00860295"/>
    <w:rsid w:val="0088068C"/>
    <w:rsid w:val="00892A43"/>
    <w:rsid w:val="008938FF"/>
    <w:rsid w:val="00894E29"/>
    <w:rsid w:val="0089693D"/>
    <w:rsid w:val="008A1514"/>
    <w:rsid w:val="008A377D"/>
    <w:rsid w:val="008C2513"/>
    <w:rsid w:val="008C3178"/>
    <w:rsid w:val="008C5B63"/>
    <w:rsid w:val="008C68A0"/>
    <w:rsid w:val="008D02FF"/>
    <w:rsid w:val="008D1243"/>
    <w:rsid w:val="008D243C"/>
    <w:rsid w:val="008E2D12"/>
    <w:rsid w:val="008F13BB"/>
    <w:rsid w:val="008F2055"/>
    <w:rsid w:val="008F4ED2"/>
    <w:rsid w:val="008F66E7"/>
    <w:rsid w:val="009044E4"/>
    <w:rsid w:val="009055F3"/>
    <w:rsid w:val="009066B6"/>
    <w:rsid w:val="00907556"/>
    <w:rsid w:val="00913817"/>
    <w:rsid w:val="00924137"/>
    <w:rsid w:val="00925F7F"/>
    <w:rsid w:val="0092731B"/>
    <w:rsid w:val="00947EF4"/>
    <w:rsid w:val="00952960"/>
    <w:rsid w:val="00954440"/>
    <w:rsid w:val="00960A2B"/>
    <w:rsid w:val="009707C4"/>
    <w:rsid w:val="00970B01"/>
    <w:rsid w:val="00971CC5"/>
    <w:rsid w:val="009874BD"/>
    <w:rsid w:val="009900DD"/>
    <w:rsid w:val="00990B40"/>
    <w:rsid w:val="00991002"/>
    <w:rsid w:val="009B06B5"/>
    <w:rsid w:val="009B0DBF"/>
    <w:rsid w:val="009B5E33"/>
    <w:rsid w:val="009B6F36"/>
    <w:rsid w:val="009C0E9E"/>
    <w:rsid w:val="009C4007"/>
    <w:rsid w:val="009C7312"/>
    <w:rsid w:val="009D6350"/>
    <w:rsid w:val="009D6916"/>
    <w:rsid w:val="009E4662"/>
    <w:rsid w:val="009E5005"/>
    <w:rsid w:val="009F128B"/>
    <w:rsid w:val="00A03055"/>
    <w:rsid w:val="00A11931"/>
    <w:rsid w:val="00A171EA"/>
    <w:rsid w:val="00A22177"/>
    <w:rsid w:val="00A2314D"/>
    <w:rsid w:val="00A2523F"/>
    <w:rsid w:val="00A433A6"/>
    <w:rsid w:val="00A43E7A"/>
    <w:rsid w:val="00A46ED3"/>
    <w:rsid w:val="00A525AF"/>
    <w:rsid w:val="00A54502"/>
    <w:rsid w:val="00A70611"/>
    <w:rsid w:val="00A7101F"/>
    <w:rsid w:val="00A73E50"/>
    <w:rsid w:val="00A7648B"/>
    <w:rsid w:val="00A779FE"/>
    <w:rsid w:val="00A77B07"/>
    <w:rsid w:val="00A84E04"/>
    <w:rsid w:val="00A853CC"/>
    <w:rsid w:val="00A91076"/>
    <w:rsid w:val="00A96048"/>
    <w:rsid w:val="00A97B08"/>
    <w:rsid w:val="00AA3505"/>
    <w:rsid w:val="00AA5256"/>
    <w:rsid w:val="00AA7762"/>
    <w:rsid w:val="00AB00B8"/>
    <w:rsid w:val="00AB32E4"/>
    <w:rsid w:val="00AB4DF6"/>
    <w:rsid w:val="00AB7DAB"/>
    <w:rsid w:val="00AC0623"/>
    <w:rsid w:val="00AC0D0C"/>
    <w:rsid w:val="00AC2A41"/>
    <w:rsid w:val="00AC5E83"/>
    <w:rsid w:val="00AC674C"/>
    <w:rsid w:val="00AD330A"/>
    <w:rsid w:val="00AD56A6"/>
    <w:rsid w:val="00AD5F08"/>
    <w:rsid w:val="00AD75FB"/>
    <w:rsid w:val="00AE1D8D"/>
    <w:rsid w:val="00AE6A5B"/>
    <w:rsid w:val="00AE7F65"/>
    <w:rsid w:val="00AF7BB3"/>
    <w:rsid w:val="00B063F9"/>
    <w:rsid w:val="00B112A1"/>
    <w:rsid w:val="00B14398"/>
    <w:rsid w:val="00B17284"/>
    <w:rsid w:val="00B22E7F"/>
    <w:rsid w:val="00B24F58"/>
    <w:rsid w:val="00B304D7"/>
    <w:rsid w:val="00B30DFF"/>
    <w:rsid w:val="00B46840"/>
    <w:rsid w:val="00B513FE"/>
    <w:rsid w:val="00B534A8"/>
    <w:rsid w:val="00B5587D"/>
    <w:rsid w:val="00B56D0A"/>
    <w:rsid w:val="00B60EC5"/>
    <w:rsid w:val="00B72045"/>
    <w:rsid w:val="00B740D9"/>
    <w:rsid w:val="00B74AA7"/>
    <w:rsid w:val="00B7586A"/>
    <w:rsid w:val="00B76345"/>
    <w:rsid w:val="00B84AED"/>
    <w:rsid w:val="00B87294"/>
    <w:rsid w:val="00B877B2"/>
    <w:rsid w:val="00B879BF"/>
    <w:rsid w:val="00B92478"/>
    <w:rsid w:val="00B955C6"/>
    <w:rsid w:val="00BA0765"/>
    <w:rsid w:val="00BA0EC9"/>
    <w:rsid w:val="00BA1E67"/>
    <w:rsid w:val="00BA1E84"/>
    <w:rsid w:val="00BA4DA9"/>
    <w:rsid w:val="00BB2689"/>
    <w:rsid w:val="00BB3DD7"/>
    <w:rsid w:val="00BB68B0"/>
    <w:rsid w:val="00BC00A1"/>
    <w:rsid w:val="00BC0714"/>
    <w:rsid w:val="00BC34CF"/>
    <w:rsid w:val="00BC353E"/>
    <w:rsid w:val="00BD552F"/>
    <w:rsid w:val="00BE595A"/>
    <w:rsid w:val="00BE6FAB"/>
    <w:rsid w:val="00BE783C"/>
    <w:rsid w:val="00BE7B3C"/>
    <w:rsid w:val="00BF5FBD"/>
    <w:rsid w:val="00C00D44"/>
    <w:rsid w:val="00C03806"/>
    <w:rsid w:val="00C06736"/>
    <w:rsid w:val="00C10475"/>
    <w:rsid w:val="00C106C1"/>
    <w:rsid w:val="00C14AF2"/>
    <w:rsid w:val="00C171B6"/>
    <w:rsid w:val="00C2452B"/>
    <w:rsid w:val="00C27405"/>
    <w:rsid w:val="00C30183"/>
    <w:rsid w:val="00C3644F"/>
    <w:rsid w:val="00C460D8"/>
    <w:rsid w:val="00C545B1"/>
    <w:rsid w:val="00C579ED"/>
    <w:rsid w:val="00C61EEF"/>
    <w:rsid w:val="00C70AAE"/>
    <w:rsid w:val="00C712DE"/>
    <w:rsid w:val="00C8296E"/>
    <w:rsid w:val="00C83C65"/>
    <w:rsid w:val="00C840D0"/>
    <w:rsid w:val="00C90172"/>
    <w:rsid w:val="00C91095"/>
    <w:rsid w:val="00C9751F"/>
    <w:rsid w:val="00C9783F"/>
    <w:rsid w:val="00CA3B1B"/>
    <w:rsid w:val="00CA58B5"/>
    <w:rsid w:val="00CB244C"/>
    <w:rsid w:val="00CB759D"/>
    <w:rsid w:val="00CC0A41"/>
    <w:rsid w:val="00CC1F21"/>
    <w:rsid w:val="00CC3BA0"/>
    <w:rsid w:val="00CC6A3D"/>
    <w:rsid w:val="00CC6D8C"/>
    <w:rsid w:val="00CC765C"/>
    <w:rsid w:val="00CD15CC"/>
    <w:rsid w:val="00CD38DB"/>
    <w:rsid w:val="00CD75F8"/>
    <w:rsid w:val="00CE1FD0"/>
    <w:rsid w:val="00CE7536"/>
    <w:rsid w:val="00CF0E53"/>
    <w:rsid w:val="00CF366A"/>
    <w:rsid w:val="00D00216"/>
    <w:rsid w:val="00D00DBC"/>
    <w:rsid w:val="00D011CD"/>
    <w:rsid w:val="00D0254B"/>
    <w:rsid w:val="00D225CC"/>
    <w:rsid w:val="00D22682"/>
    <w:rsid w:val="00D240C3"/>
    <w:rsid w:val="00D25196"/>
    <w:rsid w:val="00D339BD"/>
    <w:rsid w:val="00D36765"/>
    <w:rsid w:val="00D40309"/>
    <w:rsid w:val="00D44E75"/>
    <w:rsid w:val="00D46724"/>
    <w:rsid w:val="00D47080"/>
    <w:rsid w:val="00D517A4"/>
    <w:rsid w:val="00D53C59"/>
    <w:rsid w:val="00D549F4"/>
    <w:rsid w:val="00D640F5"/>
    <w:rsid w:val="00D674F6"/>
    <w:rsid w:val="00D67CD8"/>
    <w:rsid w:val="00D67F00"/>
    <w:rsid w:val="00D714E2"/>
    <w:rsid w:val="00D76090"/>
    <w:rsid w:val="00D80D74"/>
    <w:rsid w:val="00D82AA0"/>
    <w:rsid w:val="00D8779C"/>
    <w:rsid w:val="00DA098F"/>
    <w:rsid w:val="00DA0ABA"/>
    <w:rsid w:val="00DB0E68"/>
    <w:rsid w:val="00DB35A9"/>
    <w:rsid w:val="00DB711B"/>
    <w:rsid w:val="00DC0253"/>
    <w:rsid w:val="00DC4F70"/>
    <w:rsid w:val="00DC6C9C"/>
    <w:rsid w:val="00DC753D"/>
    <w:rsid w:val="00DD0CD4"/>
    <w:rsid w:val="00DD6CBD"/>
    <w:rsid w:val="00DD759E"/>
    <w:rsid w:val="00DE1061"/>
    <w:rsid w:val="00DE2699"/>
    <w:rsid w:val="00DE28AE"/>
    <w:rsid w:val="00DE7B12"/>
    <w:rsid w:val="00E1782A"/>
    <w:rsid w:val="00E25542"/>
    <w:rsid w:val="00E2770C"/>
    <w:rsid w:val="00E30BB5"/>
    <w:rsid w:val="00E31447"/>
    <w:rsid w:val="00E35FC7"/>
    <w:rsid w:val="00E422A2"/>
    <w:rsid w:val="00E51C35"/>
    <w:rsid w:val="00E61ED7"/>
    <w:rsid w:val="00E71F95"/>
    <w:rsid w:val="00E734C8"/>
    <w:rsid w:val="00E813B7"/>
    <w:rsid w:val="00E81F05"/>
    <w:rsid w:val="00E82874"/>
    <w:rsid w:val="00E9047D"/>
    <w:rsid w:val="00E95E44"/>
    <w:rsid w:val="00EA399C"/>
    <w:rsid w:val="00EB32FA"/>
    <w:rsid w:val="00EB4C19"/>
    <w:rsid w:val="00EB6589"/>
    <w:rsid w:val="00ED2177"/>
    <w:rsid w:val="00ED3B60"/>
    <w:rsid w:val="00EE6E92"/>
    <w:rsid w:val="00EF03C9"/>
    <w:rsid w:val="00EF0A8C"/>
    <w:rsid w:val="00EF2B16"/>
    <w:rsid w:val="00EF5C07"/>
    <w:rsid w:val="00EF6A28"/>
    <w:rsid w:val="00EF6FBF"/>
    <w:rsid w:val="00EF74CF"/>
    <w:rsid w:val="00F05BF1"/>
    <w:rsid w:val="00F10E8E"/>
    <w:rsid w:val="00F1113D"/>
    <w:rsid w:val="00F15E88"/>
    <w:rsid w:val="00F209A9"/>
    <w:rsid w:val="00F233FF"/>
    <w:rsid w:val="00F27556"/>
    <w:rsid w:val="00F27C45"/>
    <w:rsid w:val="00F34407"/>
    <w:rsid w:val="00F3539A"/>
    <w:rsid w:val="00F54A52"/>
    <w:rsid w:val="00F646C6"/>
    <w:rsid w:val="00F72D9F"/>
    <w:rsid w:val="00F7452A"/>
    <w:rsid w:val="00F76D55"/>
    <w:rsid w:val="00F800AF"/>
    <w:rsid w:val="00F82AA4"/>
    <w:rsid w:val="00F84498"/>
    <w:rsid w:val="00F91683"/>
    <w:rsid w:val="00FA17FC"/>
    <w:rsid w:val="00FA43CC"/>
    <w:rsid w:val="00FA5D11"/>
    <w:rsid w:val="00FB17AC"/>
    <w:rsid w:val="00FB7051"/>
    <w:rsid w:val="00FC08E1"/>
    <w:rsid w:val="00FC622D"/>
    <w:rsid w:val="00FE62A5"/>
    <w:rsid w:val="00FE6A9C"/>
    <w:rsid w:val="00FE6CB8"/>
    <w:rsid w:val="00FF1D0B"/>
    <w:rsid w:val="00FF77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before="100" w:after="100"/>
    </w:pPr>
    <w:rPr>
      <w:snapToGrid w:val="0"/>
      <w:sz w:val="24"/>
      <w:lang w:val="en-US" w:eastAsia="en-US"/>
    </w:rPr>
  </w:style>
  <w:style w:type="paragraph" w:styleId="Titlu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ccentuat">
    <w:name w:val="Emphasis"/>
    <w:qFormat/>
    <w:rPr>
      <w:i/>
    </w:rPr>
  </w:style>
  <w:style w:type="character" w:styleId="Hyperlink">
    <w:name w:val="Hyperlink"/>
    <w:rPr>
      <w:color w:val="0000FF"/>
      <w:u w:val="single"/>
    </w:rPr>
  </w:style>
  <w:style w:type="character" w:styleId="HyperlinkParcurs">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Parteainferioaraformularului-z">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Parteasuperioaraformularului-z">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Robust">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Plandocument">
    <w:name w:val="Document Map"/>
    <w:basedOn w:val="Normal"/>
    <w:semiHidden/>
    <w:pPr>
      <w:shd w:val="clear" w:color="auto" w:fill="000080"/>
    </w:pPr>
    <w:rPr>
      <w:rFonts w:ascii="Tahoma" w:hAnsi="Tahoma"/>
    </w:rPr>
  </w:style>
  <w:style w:type="paragraph" w:styleId="Antet">
    <w:name w:val="header"/>
    <w:basedOn w:val="Normal"/>
    <w:pPr>
      <w:tabs>
        <w:tab w:val="center" w:pos="4320"/>
        <w:tab w:val="right" w:pos="8640"/>
      </w:tabs>
    </w:pPr>
  </w:style>
  <w:style w:type="paragraph" w:styleId="Subsol">
    <w:name w:val="footer"/>
    <w:basedOn w:val="Normal"/>
    <w:link w:val="SubsolCaracter"/>
    <w:pPr>
      <w:tabs>
        <w:tab w:val="center" w:pos="4320"/>
        <w:tab w:val="right" w:pos="8640"/>
      </w:tabs>
    </w:pPr>
  </w:style>
  <w:style w:type="character" w:styleId="Numrdepagin">
    <w:name w:val="page number"/>
    <w:basedOn w:val="Fontdeparagrafimplicit"/>
    <w:rsid w:val="007F095B"/>
  </w:style>
  <w:style w:type="paragraph" w:styleId="Corp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Textnotdesubsol">
    <w:name w:val="footnote text"/>
    <w:basedOn w:val="Normal"/>
    <w:link w:val="TextnotdesubsolCaracter"/>
    <w:semiHidden/>
    <w:rsid w:val="001951FE"/>
    <w:rPr>
      <w:sz w:val="20"/>
    </w:rPr>
  </w:style>
  <w:style w:type="character" w:styleId="Referinnotdesubsol">
    <w:name w:val="footnote reference"/>
    <w:semiHidden/>
    <w:rsid w:val="001951FE"/>
    <w:rPr>
      <w:vertAlign w:val="superscript"/>
    </w:rPr>
  </w:style>
  <w:style w:type="character" w:customStyle="1" w:styleId="SubsolCaracter">
    <w:name w:val="Subsol Caracter"/>
    <w:link w:val="Subsol"/>
    <w:rsid w:val="007727F3"/>
    <w:rPr>
      <w:snapToGrid w:val="0"/>
      <w:sz w:val="24"/>
      <w:lang w:val="en-US" w:eastAsia="en-US"/>
    </w:rPr>
  </w:style>
  <w:style w:type="paragraph" w:styleId="TextnBalon">
    <w:name w:val="Balloon Text"/>
    <w:basedOn w:val="Normal"/>
    <w:link w:val="TextnBalonCaracter"/>
    <w:rsid w:val="00D240C3"/>
    <w:pPr>
      <w:spacing w:before="0" w:after="0"/>
    </w:pPr>
    <w:rPr>
      <w:rFonts w:ascii="Tahoma" w:hAnsi="Tahoma" w:cs="Tahoma"/>
      <w:sz w:val="16"/>
      <w:szCs w:val="16"/>
    </w:rPr>
  </w:style>
  <w:style w:type="character" w:customStyle="1" w:styleId="TextnBalonCaracter">
    <w:name w:val="Text în Balon Caracter"/>
    <w:link w:val="TextnBalon"/>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Referincomentariu">
    <w:name w:val="annotation reference"/>
    <w:rsid w:val="00BC0714"/>
    <w:rPr>
      <w:sz w:val="16"/>
      <w:szCs w:val="16"/>
    </w:rPr>
  </w:style>
  <w:style w:type="paragraph" w:styleId="Textcomentariu">
    <w:name w:val="annotation text"/>
    <w:basedOn w:val="Normal"/>
    <w:link w:val="TextcomentariuCaracter"/>
    <w:rsid w:val="00BC0714"/>
    <w:rPr>
      <w:sz w:val="20"/>
    </w:rPr>
  </w:style>
  <w:style w:type="character" w:customStyle="1" w:styleId="TextcomentariuCaracter">
    <w:name w:val="Text comentariu Caracter"/>
    <w:link w:val="Textcomentariu"/>
    <w:rsid w:val="00BC0714"/>
    <w:rPr>
      <w:snapToGrid w:val="0"/>
      <w:lang w:val="en-US" w:eastAsia="en-US"/>
    </w:rPr>
  </w:style>
  <w:style w:type="paragraph" w:styleId="SubiectComentariu">
    <w:name w:val="annotation subject"/>
    <w:basedOn w:val="Textcomentariu"/>
    <w:next w:val="Textcomentariu"/>
    <w:link w:val="SubiectComentariuCaracter"/>
    <w:rsid w:val="00BC0714"/>
    <w:rPr>
      <w:b/>
      <w:bCs/>
    </w:rPr>
  </w:style>
  <w:style w:type="character" w:customStyle="1" w:styleId="SubiectComentariuCaracter">
    <w:name w:val="Subiect Comentariu Caracter"/>
    <w:link w:val="SubiectComentariu"/>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1"/>
      </w:numPr>
    </w:pPr>
  </w:style>
  <w:style w:type="paragraph" w:styleId="Textnotdefinal">
    <w:name w:val="endnote text"/>
    <w:basedOn w:val="Normal"/>
    <w:link w:val="TextnotdefinalCaracter"/>
    <w:rsid w:val="005B3ED3"/>
    <w:rPr>
      <w:sz w:val="20"/>
    </w:rPr>
  </w:style>
  <w:style w:type="character" w:customStyle="1" w:styleId="TextnotdefinalCaracter">
    <w:name w:val="Text notă de final Caracter"/>
    <w:link w:val="Textnotdefinal"/>
    <w:rsid w:val="005B3ED3"/>
    <w:rPr>
      <w:snapToGrid w:val="0"/>
      <w:lang w:val="en-US" w:eastAsia="en-US"/>
    </w:rPr>
  </w:style>
  <w:style w:type="paragraph" w:styleId="Subtitlu">
    <w:name w:val="Subtitle"/>
    <w:basedOn w:val="Normal"/>
    <w:link w:val="SubtitluCaracter"/>
    <w:qFormat/>
    <w:rsid w:val="00EF74CF"/>
    <w:pPr>
      <w:widowControl/>
      <w:spacing w:before="120" w:after="120"/>
      <w:jc w:val="center"/>
    </w:pPr>
    <w:rPr>
      <w:rFonts w:ascii="Arial" w:hAnsi="Arial"/>
      <w:b/>
      <w:sz w:val="28"/>
      <w:lang w:val="fr-BE"/>
    </w:rPr>
  </w:style>
  <w:style w:type="character" w:customStyle="1" w:styleId="SubtitluCaracter">
    <w:name w:val="Subtitlu Caracter"/>
    <w:link w:val="Subtitlu"/>
    <w:rsid w:val="00EF74CF"/>
    <w:rPr>
      <w:rFonts w:ascii="Arial" w:hAnsi="Arial"/>
      <w:b/>
      <w:snapToGrid w:val="0"/>
      <w:sz w:val="28"/>
      <w:lang w:eastAsia="en-US"/>
    </w:rPr>
  </w:style>
  <w:style w:type="paragraph" w:styleId="Revizuire">
    <w:name w:val="Revision"/>
    <w:hidden/>
    <w:uiPriority w:val="99"/>
    <w:semiHidden/>
    <w:rsid w:val="00C91095"/>
    <w:rPr>
      <w:snapToGrid w:val="0"/>
      <w:sz w:val="24"/>
      <w:lang w:val="en-US" w:eastAsia="en-US"/>
    </w:rPr>
  </w:style>
  <w:style w:type="character" w:customStyle="1" w:styleId="TextnotdesubsolCaracter">
    <w:name w:val="Text notă de subsol Caracter"/>
    <w:link w:val="Textnotdesubsol"/>
    <w:semiHidden/>
    <w:rsid w:val="00AC5E83"/>
    <w:rPr>
      <w:snapToGrid w:val="0"/>
      <w:lang w:val="en-US" w:eastAsia="en-US"/>
    </w:rPr>
  </w:style>
  <w:style w:type="character" w:customStyle="1" w:styleId="data">
    <w:name w:val="data"/>
    <w:rsid w:val="00E71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imap.ted.europa.eu/en/web/simap/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334F8-5616-4D55-A4AA-2E574BF033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A0F226-BEF0-4743-8989-1AE718EF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B6391-645C-42B9-968E-A2AE9697534D}">
  <ds:schemaRefs>
    <ds:schemaRef ds:uri="http://schemas.microsoft.com/sharepoint/v3/contenttype/forms"/>
  </ds:schemaRefs>
</ds:datastoreItem>
</file>

<file path=customXml/itemProps4.xml><?xml version="1.0" encoding="utf-8"?>
<ds:datastoreItem xmlns:ds="http://schemas.openxmlformats.org/officeDocument/2006/customXml" ds:itemID="{AD650AD0-8B5A-441A-BB6F-64D565A7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1</Pages>
  <Words>1100</Words>
  <Characters>6381</Characters>
  <Application>Microsoft Office Word</Application>
  <DocSecurity>0</DocSecurity>
  <Lines>53</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DL03</cp:lastModifiedBy>
  <cp:revision>59</cp:revision>
  <cp:lastPrinted>2014-01-30T15:32:00Z</cp:lastPrinted>
  <dcterms:created xsi:type="dcterms:W3CDTF">2020-07-13T18:49:00Z</dcterms:created>
  <dcterms:modified xsi:type="dcterms:W3CDTF">2025-10-16T05:21:00Z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