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1FF12" w14:textId="77777777" w:rsidR="00CB4848" w:rsidRPr="00117373" w:rsidRDefault="00CB4848" w:rsidP="00CB4848">
      <w:pPr>
        <w:ind w:left="6480" w:firstLine="1"/>
        <w:rPr>
          <w:rFonts w:eastAsia="Times New Roman" w:cs="Times New Roman"/>
          <w:b/>
          <w:bCs/>
          <w:color w:val="000000" w:themeColor="text1"/>
          <w:sz w:val="28"/>
          <w:szCs w:val="28"/>
          <w:lang w:val="en-GB"/>
        </w:rPr>
      </w:pPr>
      <w:r w:rsidRPr="00117373">
        <w:rPr>
          <w:rFonts w:eastAsia="Times New Roman" w:cs="Times New Roman"/>
          <w:b/>
          <w:bCs/>
          <w:color w:val="000000" w:themeColor="text1"/>
          <w:sz w:val="28"/>
          <w:szCs w:val="28"/>
          <w:lang w:val="en-GB"/>
        </w:rPr>
        <w:t>APPROVED</w:t>
      </w:r>
    </w:p>
    <w:p w14:paraId="59232350" w14:textId="77777777" w:rsidR="00CB4848" w:rsidRPr="00117373" w:rsidRDefault="00CB4848" w:rsidP="00CB4848">
      <w:pPr>
        <w:ind w:left="6480" w:firstLine="1"/>
        <w:rPr>
          <w:rFonts w:eastAsia="Times New Roman" w:cs="Times New Roman"/>
          <w:b/>
          <w:bCs/>
          <w:color w:val="000000" w:themeColor="text1"/>
          <w:sz w:val="28"/>
          <w:szCs w:val="28"/>
          <w:lang w:val="en-GB"/>
        </w:rPr>
      </w:pPr>
      <w:r w:rsidRPr="00117373">
        <w:rPr>
          <w:rFonts w:eastAsia="Times New Roman" w:cs="Times New Roman"/>
          <w:color w:val="000000" w:themeColor="text1"/>
          <w:sz w:val="28"/>
          <w:szCs w:val="28"/>
          <w:lang w:val="en-GB"/>
        </w:rPr>
        <w:t>Alexandru OPREA</w:t>
      </w:r>
    </w:p>
    <w:p w14:paraId="340EA2BC" w14:textId="77777777" w:rsidR="00CB4848" w:rsidRPr="00117373" w:rsidRDefault="00CB4848" w:rsidP="00CB4848">
      <w:pPr>
        <w:ind w:left="6480" w:firstLine="1"/>
        <w:rPr>
          <w:rFonts w:eastAsia="Times New Roman" w:cs="Times New Roman"/>
          <w:b/>
          <w:bCs/>
          <w:color w:val="000000" w:themeColor="text1"/>
          <w:sz w:val="28"/>
          <w:szCs w:val="28"/>
          <w:lang w:val="en-GB"/>
        </w:rPr>
      </w:pPr>
      <w:r w:rsidRPr="00117373">
        <w:rPr>
          <w:rFonts w:eastAsia="Times New Roman" w:cs="Times New Roman"/>
          <w:color w:val="000000" w:themeColor="text1"/>
          <w:sz w:val="28"/>
          <w:szCs w:val="28"/>
          <w:lang w:val="en-GB"/>
        </w:rPr>
        <w:t>Head of General Inspectorate for Emergency Situations</w:t>
      </w:r>
    </w:p>
    <w:p w14:paraId="3085C4A3" w14:textId="77777777" w:rsidR="00CB4848" w:rsidRPr="00117373" w:rsidRDefault="00CB4848" w:rsidP="00CB4848">
      <w:pPr>
        <w:ind w:left="6480" w:firstLine="1"/>
        <w:rPr>
          <w:rFonts w:eastAsia="Times New Roman" w:cs="Times New Roman"/>
          <w:b/>
          <w:bCs/>
          <w:color w:val="000000" w:themeColor="text1"/>
          <w:sz w:val="28"/>
          <w:szCs w:val="28"/>
          <w:lang w:val="en-GB"/>
        </w:rPr>
      </w:pPr>
      <w:r w:rsidRPr="00117373">
        <w:rPr>
          <w:rFonts w:eastAsia="Times New Roman" w:cs="Times New Roman"/>
          <w:color w:val="000000" w:themeColor="text1"/>
          <w:sz w:val="28"/>
          <w:szCs w:val="28"/>
          <w:lang w:val="en-GB"/>
        </w:rPr>
        <w:t>of Ministry of Internal Affairs of the Republic of Moldova</w:t>
      </w:r>
    </w:p>
    <w:p w14:paraId="16D57FDA" w14:textId="77777777" w:rsidR="00CB4848" w:rsidRPr="00117373" w:rsidRDefault="00CB4848" w:rsidP="00CB4848">
      <w:pPr>
        <w:ind w:firstLine="1"/>
        <w:jc w:val="center"/>
        <w:rPr>
          <w:rFonts w:eastAsia="Times New Roman" w:cs="Times New Roman"/>
          <w:color w:val="000000" w:themeColor="text1"/>
          <w:sz w:val="28"/>
          <w:szCs w:val="28"/>
          <w:lang w:val="en-GB"/>
        </w:rPr>
      </w:pPr>
    </w:p>
    <w:p w14:paraId="1796917C" w14:textId="77777777" w:rsidR="00CB4848" w:rsidRPr="00117373" w:rsidRDefault="00CB4848" w:rsidP="00CB4848">
      <w:pPr>
        <w:ind w:firstLine="1"/>
        <w:jc w:val="center"/>
        <w:rPr>
          <w:rFonts w:eastAsia="Times New Roman" w:cs="Times New Roman"/>
          <w:color w:val="000000" w:themeColor="text1"/>
          <w:sz w:val="28"/>
          <w:szCs w:val="28"/>
          <w:lang w:val="en-GB"/>
        </w:rPr>
      </w:pPr>
    </w:p>
    <w:p w14:paraId="0657F9DF" w14:textId="77777777" w:rsidR="00CB4848" w:rsidRPr="00117373" w:rsidRDefault="00CB4848" w:rsidP="00CB4848">
      <w:pPr>
        <w:ind w:firstLine="1"/>
        <w:jc w:val="center"/>
        <w:rPr>
          <w:rFonts w:eastAsia="Times New Roman" w:cs="Times New Roman"/>
          <w:color w:val="000000" w:themeColor="text1"/>
          <w:sz w:val="28"/>
          <w:szCs w:val="28"/>
          <w:lang w:val="en-GB"/>
        </w:rPr>
      </w:pPr>
    </w:p>
    <w:p w14:paraId="78199FD9" w14:textId="77777777" w:rsidR="00CB4848" w:rsidRPr="00117373" w:rsidRDefault="00CB4848" w:rsidP="00CB4848">
      <w:pPr>
        <w:ind w:firstLine="1"/>
        <w:jc w:val="center"/>
        <w:rPr>
          <w:rFonts w:eastAsia="Times New Roman" w:cs="Times New Roman"/>
          <w:color w:val="000000" w:themeColor="text1"/>
          <w:sz w:val="28"/>
          <w:szCs w:val="28"/>
          <w:lang w:val="en-GB"/>
        </w:rPr>
      </w:pPr>
    </w:p>
    <w:p w14:paraId="0A163EBF" w14:textId="77777777" w:rsidR="00CB4848" w:rsidRPr="00117373" w:rsidRDefault="00CB4848" w:rsidP="00CB4848">
      <w:pPr>
        <w:rPr>
          <w:rFonts w:eastAsia="Times New Roman" w:cs="Times New Roman"/>
          <w:color w:val="000000" w:themeColor="text1"/>
          <w:sz w:val="28"/>
          <w:szCs w:val="28"/>
          <w:lang w:val="en-GB"/>
        </w:rPr>
      </w:pPr>
    </w:p>
    <w:p w14:paraId="1271E30E" w14:textId="77777777" w:rsidR="00CB4848" w:rsidRPr="00117373" w:rsidRDefault="00CB4848" w:rsidP="00CB4848">
      <w:pPr>
        <w:ind w:firstLine="1"/>
        <w:jc w:val="center"/>
        <w:rPr>
          <w:rFonts w:eastAsia="Times New Roman" w:cs="Times New Roman"/>
          <w:color w:val="000000" w:themeColor="text1"/>
          <w:sz w:val="28"/>
          <w:szCs w:val="28"/>
          <w:lang w:val="en-GB"/>
        </w:rPr>
      </w:pPr>
    </w:p>
    <w:p w14:paraId="3620565F" w14:textId="77777777" w:rsidR="00CB4848" w:rsidRPr="00117373" w:rsidRDefault="00CB4848" w:rsidP="00CB4848">
      <w:pPr>
        <w:jc w:val="both"/>
        <w:rPr>
          <w:rFonts w:eastAsia="Times New Roman" w:cs="Times New Roman"/>
          <w:color w:val="000000" w:themeColor="text1"/>
          <w:sz w:val="28"/>
          <w:szCs w:val="28"/>
          <w:lang w:val="en-GB"/>
        </w:rPr>
      </w:pPr>
    </w:p>
    <w:p w14:paraId="119E3C87" w14:textId="77777777" w:rsidR="00CB4848" w:rsidRPr="00117373" w:rsidRDefault="00CB4848" w:rsidP="00CB4848">
      <w:pPr>
        <w:jc w:val="both"/>
        <w:rPr>
          <w:rFonts w:eastAsia="Times New Roman" w:cs="Times New Roman"/>
          <w:color w:val="000000" w:themeColor="text1"/>
          <w:sz w:val="28"/>
          <w:szCs w:val="28"/>
          <w:lang w:val="en-GB"/>
        </w:rPr>
      </w:pPr>
    </w:p>
    <w:p w14:paraId="7E84BB7D" w14:textId="77777777" w:rsidR="00CB4848" w:rsidRPr="00117373" w:rsidRDefault="00CB4848" w:rsidP="00CB4848">
      <w:pPr>
        <w:jc w:val="both"/>
        <w:rPr>
          <w:rFonts w:eastAsia="Times New Roman" w:cs="Times New Roman"/>
          <w:color w:val="000000" w:themeColor="text1"/>
          <w:sz w:val="28"/>
          <w:szCs w:val="28"/>
          <w:lang w:val="en-GB"/>
        </w:rPr>
      </w:pPr>
    </w:p>
    <w:p w14:paraId="4519B04F" w14:textId="77777777" w:rsidR="00CB4848" w:rsidRPr="00117373" w:rsidRDefault="00CB4848" w:rsidP="00CB4848">
      <w:pPr>
        <w:ind w:left="810" w:right="554"/>
        <w:jc w:val="center"/>
        <w:rPr>
          <w:rFonts w:eastAsia="Times New Roman" w:cs="Times New Roman"/>
          <w:color w:val="000000" w:themeColor="text1"/>
          <w:sz w:val="28"/>
          <w:szCs w:val="28"/>
          <w:lang w:val="en-GB"/>
        </w:rPr>
      </w:pPr>
      <w:r w:rsidRPr="00117373">
        <w:rPr>
          <w:rFonts w:eastAsia="Times New Roman" w:cs="Times New Roman"/>
          <w:b/>
          <w:color w:val="000000" w:themeColor="text1"/>
          <w:sz w:val="28"/>
          <w:szCs w:val="28"/>
          <w:lang w:val="en-GB"/>
        </w:rPr>
        <w:t>SPECIFICATIONS</w:t>
      </w:r>
    </w:p>
    <w:p w14:paraId="058D90F5" w14:textId="77777777" w:rsidR="00CB4848" w:rsidRPr="00117373" w:rsidRDefault="00CB4848" w:rsidP="00CB4848">
      <w:pPr>
        <w:ind w:left="810" w:right="554"/>
        <w:jc w:val="center"/>
        <w:rPr>
          <w:rFonts w:eastAsia="Times New Roman" w:cs="Times New Roman"/>
          <w:color w:val="000000" w:themeColor="text1"/>
          <w:sz w:val="28"/>
          <w:szCs w:val="28"/>
          <w:lang w:val="en-GB"/>
        </w:rPr>
      </w:pPr>
      <w:r w:rsidRPr="00117373">
        <w:rPr>
          <w:rFonts w:eastAsia="Times New Roman" w:cs="Times New Roman"/>
          <w:color w:val="000000" w:themeColor="text1"/>
          <w:sz w:val="28"/>
          <w:szCs w:val="28"/>
          <w:lang w:val="en-GB"/>
        </w:rPr>
        <w:t xml:space="preserve">concerning procurement of services for the development of </w:t>
      </w:r>
    </w:p>
    <w:p w14:paraId="22FEBAB5" w14:textId="77777777" w:rsidR="00CB4848" w:rsidRPr="00117373" w:rsidRDefault="00CB4848" w:rsidP="00CB4848">
      <w:pPr>
        <w:ind w:left="810" w:right="554"/>
        <w:jc w:val="center"/>
        <w:rPr>
          <w:rFonts w:eastAsia="Times New Roman" w:cs="Times New Roman"/>
          <w:color w:val="000000" w:themeColor="text1"/>
          <w:sz w:val="28"/>
          <w:szCs w:val="28"/>
          <w:lang w:val="en-GB"/>
        </w:rPr>
      </w:pPr>
      <w:r w:rsidRPr="00117373">
        <w:rPr>
          <w:rFonts w:eastAsia="Times New Roman" w:cs="Times New Roman"/>
          <w:color w:val="000000" w:themeColor="text1"/>
          <w:sz w:val="28"/>
          <w:szCs w:val="28"/>
          <w:lang w:val="en-GB"/>
        </w:rPr>
        <w:t xml:space="preserve">Feasibility Study and specific documentation for implementation of the National </w:t>
      </w:r>
      <w:r>
        <w:rPr>
          <w:rFonts w:eastAsia="Times New Roman" w:cs="Times New Roman"/>
          <w:color w:val="000000" w:themeColor="text1"/>
          <w:sz w:val="28"/>
          <w:szCs w:val="28"/>
          <w:lang w:val="en-GB"/>
        </w:rPr>
        <w:t>Public</w:t>
      </w:r>
      <w:r w:rsidRPr="00117373">
        <w:rPr>
          <w:rFonts w:eastAsia="Times New Roman" w:cs="Times New Roman"/>
          <w:color w:val="000000" w:themeColor="text1"/>
          <w:sz w:val="28"/>
          <w:szCs w:val="28"/>
          <w:lang w:val="en-GB"/>
        </w:rPr>
        <w:t xml:space="preserve"> Warning System </w:t>
      </w:r>
    </w:p>
    <w:p w14:paraId="214D71F8" w14:textId="77777777" w:rsidR="00CB4848" w:rsidRPr="00373AC8" w:rsidRDefault="00CB4848" w:rsidP="00CB4848">
      <w:pPr>
        <w:ind w:left="810" w:right="554"/>
        <w:jc w:val="center"/>
        <w:rPr>
          <w:rFonts w:eastAsia="Times New Roman" w:cs="Times New Roman"/>
          <w:sz w:val="28"/>
          <w:szCs w:val="28"/>
          <w:lang w:val="en-GB"/>
        </w:rPr>
      </w:pPr>
    </w:p>
    <w:p w14:paraId="331A041F" w14:textId="77777777" w:rsidR="00CB4848" w:rsidRPr="00373AC8" w:rsidRDefault="00CB4848" w:rsidP="00CB4848">
      <w:pPr>
        <w:jc w:val="both"/>
        <w:rPr>
          <w:rFonts w:cs="Times New Roman"/>
          <w:sz w:val="28"/>
          <w:szCs w:val="28"/>
          <w:lang w:val="en-GB"/>
        </w:rPr>
      </w:pPr>
    </w:p>
    <w:p w14:paraId="081CE89D" w14:textId="77777777" w:rsidR="00CB4848" w:rsidRPr="00373AC8" w:rsidRDefault="00CB4848" w:rsidP="00CB4848">
      <w:pPr>
        <w:jc w:val="both"/>
        <w:rPr>
          <w:rFonts w:eastAsia="Times New Roman" w:cs="Times New Roman"/>
          <w:color w:val="000000"/>
          <w:sz w:val="28"/>
          <w:szCs w:val="28"/>
          <w:lang w:val="en-GB"/>
        </w:rPr>
      </w:pPr>
    </w:p>
    <w:p w14:paraId="58149039" w14:textId="77777777" w:rsidR="00CB4848" w:rsidRPr="00373AC8" w:rsidRDefault="00CB4848" w:rsidP="00CB4848">
      <w:pPr>
        <w:jc w:val="both"/>
        <w:rPr>
          <w:rFonts w:eastAsia="Times New Roman" w:cs="Times New Roman"/>
          <w:color w:val="000000"/>
          <w:sz w:val="28"/>
          <w:szCs w:val="28"/>
          <w:lang w:val="en-GB"/>
        </w:rPr>
      </w:pPr>
    </w:p>
    <w:p w14:paraId="27EDB599" w14:textId="77777777" w:rsidR="00CB4848" w:rsidRPr="00373AC8" w:rsidRDefault="00CB4848" w:rsidP="00CB4848">
      <w:pPr>
        <w:jc w:val="both"/>
        <w:rPr>
          <w:rFonts w:eastAsia="Times New Roman" w:cs="Times New Roman"/>
          <w:color w:val="000000"/>
          <w:sz w:val="28"/>
          <w:szCs w:val="28"/>
          <w:lang w:val="en-GB"/>
        </w:rPr>
      </w:pPr>
    </w:p>
    <w:p w14:paraId="655C6EB8" w14:textId="77777777" w:rsidR="00CB4848" w:rsidRPr="00373AC8" w:rsidRDefault="00CB4848" w:rsidP="00CB4848">
      <w:pPr>
        <w:jc w:val="both"/>
        <w:rPr>
          <w:rFonts w:eastAsia="Times New Roman" w:cs="Times New Roman"/>
          <w:color w:val="000000"/>
          <w:sz w:val="28"/>
          <w:szCs w:val="28"/>
          <w:lang w:val="en-GB"/>
        </w:rPr>
      </w:pPr>
    </w:p>
    <w:p w14:paraId="26107544" w14:textId="77777777" w:rsidR="00CB4848" w:rsidRPr="00373AC8" w:rsidRDefault="00CB4848" w:rsidP="00CB4848">
      <w:pPr>
        <w:jc w:val="both"/>
        <w:rPr>
          <w:rFonts w:eastAsia="Times New Roman" w:cs="Times New Roman"/>
          <w:color w:val="000000"/>
          <w:sz w:val="28"/>
          <w:szCs w:val="28"/>
          <w:lang w:val="en-GB"/>
        </w:rPr>
      </w:pPr>
    </w:p>
    <w:p w14:paraId="606F852C" w14:textId="77777777" w:rsidR="00CB4848" w:rsidRPr="00373AC8" w:rsidRDefault="00CB4848" w:rsidP="00CB4848">
      <w:pPr>
        <w:jc w:val="both"/>
        <w:rPr>
          <w:rFonts w:eastAsia="Times New Roman" w:cs="Times New Roman"/>
          <w:color w:val="000000"/>
          <w:sz w:val="28"/>
          <w:szCs w:val="28"/>
          <w:lang w:val="en-GB"/>
        </w:rPr>
      </w:pPr>
    </w:p>
    <w:p w14:paraId="3154D029" w14:textId="77777777" w:rsidR="00CB4848" w:rsidRPr="00373AC8" w:rsidRDefault="00CB4848" w:rsidP="00CB4848">
      <w:pPr>
        <w:jc w:val="both"/>
        <w:rPr>
          <w:rFonts w:eastAsia="Times New Roman" w:cs="Times New Roman"/>
          <w:color w:val="000000"/>
          <w:sz w:val="28"/>
          <w:szCs w:val="28"/>
          <w:lang w:val="en-GB"/>
        </w:rPr>
      </w:pPr>
    </w:p>
    <w:p w14:paraId="1DC2934E" w14:textId="77777777" w:rsidR="00CB4848" w:rsidRPr="00373AC8" w:rsidRDefault="00CB4848" w:rsidP="00CB4848">
      <w:pPr>
        <w:jc w:val="both"/>
        <w:rPr>
          <w:rFonts w:eastAsia="Times New Roman" w:cs="Times New Roman"/>
          <w:color w:val="000000"/>
          <w:sz w:val="28"/>
          <w:szCs w:val="28"/>
          <w:lang w:val="en-GB"/>
        </w:rPr>
      </w:pPr>
    </w:p>
    <w:p w14:paraId="4C99EC14" w14:textId="77777777" w:rsidR="00CB4848" w:rsidRPr="00373AC8" w:rsidRDefault="00CB4848" w:rsidP="00CB4848">
      <w:pPr>
        <w:jc w:val="both"/>
        <w:rPr>
          <w:rFonts w:eastAsia="Times New Roman" w:cs="Times New Roman"/>
          <w:color w:val="000000"/>
          <w:sz w:val="28"/>
          <w:szCs w:val="28"/>
          <w:lang w:val="en-GB"/>
        </w:rPr>
      </w:pPr>
    </w:p>
    <w:p w14:paraId="4802A5D0" w14:textId="77777777" w:rsidR="00CB4848" w:rsidRPr="00373AC8" w:rsidRDefault="00CB4848" w:rsidP="00CB4848">
      <w:pPr>
        <w:jc w:val="both"/>
        <w:rPr>
          <w:rFonts w:eastAsia="Times New Roman" w:cs="Times New Roman"/>
          <w:color w:val="000000"/>
          <w:sz w:val="28"/>
          <w:szCs w:val="28"/>
          <w:lang w:val="en-GB"/>
        </w:rPr>
      </w:pPr>
    </w:p>
    <w:p w14:paraId="28A001A4" w14:textId="77777777" w:rsidR="00CB4848" w:rsidRPr="00373AC8" w:rsidRDefault="00CB4848" w:rsidP="00CB4848">
      <w:pPr>
        <w:jc w:val="both"/>
        <w:rPr>
          <w:rFonts w:eastAsia="Times New Roman" w:cs="Times New Roman"/>
          <w:color w:val="000000"/>
          <w:sz w:val="28"/>
          <w:szCs w:val="28"/>
          <w:lang w:val="en-GB"/>
        </w:rPr>
      </w:pPr>
    </w:p>
    <w:p w14:paraId="1D6BCBB2" w14:textId="77777777" w:rsidR="00CB4848" w:rsidRPr="00373AC8" w:rsidRDefault="00CB4848" w:rsidP="00CB4848">
      <w:pPr>
        <w:jc w:val="both"/>
        <w:rPr>
          <w:rFonts w:eastAsia="Times New Roman" w:cs="Times New Roman"/>
          <w:color w:val="000000"/>
          <w:sz w:val="28"/>
          <w:szCs w:val="28"/>
          <w:lang w:val="en-GB"/>
        </w:rPr>
      </w:pPr>
    </w:p>
    <w:p w14:paraId="4B721A58" w14:textId="77777777" w:rsidR="00CB4848" w:rsidRPr="00373AC8" w:rsidRDefault="00CB4848" w:rsidP="00CB4848">
      <w:pPr>
        <w:jc w:val="both"/>
        <w:rPr>
          <w:rFonts w:eastAsia="Times New Roman" w:cs="Times New Roman"/>
          <w:color w:val="000000"/>
          <w:sz w:val="28"/>
          <w:szCs w:val="28"/>
          <w:lang w:val="en-GB"/>
        </w:rPr>
      </w:pPr>
    </w:p>
    <w:p w14:paraId="73698206" w14:textId="77777777" w:rsidR="00CB4848" w:rsidRPr="00373AC8" w:rsidRDefault="00CB4848" w:rsidP="00CB4848">
      <w:pPr>
        <w:jc w:val="both"/>
        <w:rPr>
          <w:rFonts w:eastAsia="Times New Roman" w:cs="Times New Roman"/>
          <w:color w:val="000000"/>
          <w:sz w:val="28"/>
          <w:szCs w:val="28"/>
          <w:lang w:val="en-GB"/>
        </w:rPr>
      </w:pPr>
    </w:p>
    <w:p w14:paraId="31AE1B23" w14:textId="77777777" w:rsidR="00CB4848" w:rsidRPr="00373AC8" w:rsidRDefault="00CB4848" w:rsidP="00CB4848">
      <w:pPr>
        <w:jc w:val="both"/>
        <w:rPr>
          <w:rFonts w:eastAsia="Times New Roman" w:cs="Times New Roman"/>
          <w:color w:val="000000"/>
          <w:sz w:val="28"/>
          <w:szCs w:val="28"/>
          <w:lang w:val="en-GB"/>
        </w:rPr>
      </w:pPr>
    </w:p>
    <w:p w14:paraId="7F53EA66" w14:textId="77777777" w:rsidR="00CB4848" w:rsidRPr="00373AC8" w:rsidRDefault="00CB4848" w:rsidP="00CB4848">
      <w:pPr>
        <w:jc w:val="both"/>
        <w:rPr>
          <w:rFonts w:eastAsia="Times New Roman" w:cs="Times New Roman"/>
          <w:color w:val="000000"/>
          <w:sz w:val="28"/>
          <w:szCs w:val="28"/>
          <w:lang w:val="en-GB"/>
        </w:rPr>
      </w:pPr>
    </w:p>
    <w:p w14:paraId="51543F58" w14:textId="77777777" w:rsidR="00CB4848" w:rsidRPr="00373AC8" w:rsidRDefault="00CB4848" w:rsidP="00CB4848">
      <w:pPr>
        <w:jc w:val="both"/>
        <w:rPr>
          <w:rFonts w:eastAsia="Times New Roman" w:cs="Times New Roman"/>
          <w:color w:val="000000"/>
          <w:sz w:val="28"/>
          <w:szCs w:val="28"/>
          <w:lang w:val="en-GB"/>
        </w:rPr>
      </w:pPr>
    </w:p>
    <w:p w14:paraId="280EE937" w14:textId="77777777" w:rsidR="00CB4848" w:rsidRPr="00373AC8" w:rsidRDefault="00CB4848" w:rsidP="00CB4848">
      <w:pPr>
        <w:jc w:val="both"/>
        <w:rPr>
          <w:rFonts w:eastAsia="Times New Roman" w:cs="Times New Roman"/>
          <w:color w:val="000000"/>
          <w:sz w:val="28"/>
          <w:szCs w:val="28"/>
          <w:lang w:val="en-GB"/>
        </w:rPr>
      </w:pPr>
    </w:p>
    <w:p w14:paraId="5F159914" w14:textId="77777777" w:rsidR="00CB4848" w:rsidRPr="00373AC8" w:rsidRDefault="00CB4848" w:rsidP="00CB4848">
      <w:pPr>
        <w:jc w:val="center"/>
        <w:rPr>
          <w:rFonts w:eastAsia="Times New Roman" w:cs="Times New Roman"/>
          <w:color w:val="000000"/>
          <w:sz w:val="28"/>
          <w:szCs w:val="28"/>
          <w:lang w:val="en-GB"/>
        </w:rPr>
      </w:pPr>
      <w:r w:rsidRPr="00373AC8">
        <w:rPr>
          <w:rFonts w:eastAsia="Times New Roman" w:cs="Times New Roman"/>
          <w:color w:val="000000"/>
          <w:sz w:val="28"/>
          <w:szCs w:val="28"/>
          <w:lang w:val="en-GB"/>
        </w:rPr>
        <w:t>Chisinau 2024</w:t>
      </w:r>
    </w:p>
    <w:p w14:paraId="5A9E73A6" w14:textId="77777777" w:rsidR="00CB4848" w:rsidRPr="00373AC8" w:rsidRDefault="00CB4848" w:rsidP="00CB4848">
      <w:pPr>
        <w:rPr>
          <w:rFonts w:cs="Times New Roman"/>
          <w:sz w:val="28"/>
          <w:szCs w:val="28"/>
          <w:lang w:val="en-GB"/>
        </w:rPr>
      </w:pPr>
      <w:r w:rsidRPr="00373AC8">
        <w:rPr>
          <w:rFonts w:cs="Times New Roman"/>
          <w:sz w:val="28"/>
          <w:szCs w:val="28"/>
          <w:lang w:val="en-GB"/>
        </w:rPr>
        <w:br w:type="page"/>
      </w:r>
    </w:p>
    <w:sdt>
      <w:sdtPr>
        <w:rPr>
          <w:lang w:val="en-GB"/>
        </w:rPr>
        <w:id w:val="652724945"/>
        <w:docPartObj>
          <w:docPartGallery w:val="Table of Contents"/>
          <w:docPartUnique/>
        </w:docPartObj>
      </w:sdtPr>
      <w:sdtEndPr>
        <w:rPr>
          <w:b/>
          <w:bCs/>
          <w:noProof/>
        </w:rPr>
      </w:sdtEndPr>
      <w:sdtContent>
        <w:p w14:paraId="0BC789EA" w14:textId="77777777" w:rsidR="00CB4848" w:rsidRPr="00376111" w:rsidRDefault="00CB4848" w:rsidP="00CB4848">
          <w:pPr>
            <w:keepNext/>
            <w:keepLines/>
            <w:pBdr>
              <w:top w:val="nil"/>
              <w:left w:val="nil"/>
              <w:bottom w:val="nil"/>
              <w:right w:val="nil"/>
              <w:between w:val="nil"/>
            </w:pBdr>
            <w:spacing w:before="240"/>
            <w:jc w:val="center"/>
            <w:rPr>
              <w:rFonts w:ascii="Calibri" w:eastAsia="Calibri" w:hAnsi="Calibri" w:cs="Calibri"/>
              <w:color w:val="000000" w:themeColor="text1"/>
              <w:sz w:val="32"/>
              <w:szCs w:val="32"/>
              <w:lang w:val="en-GB"/>
            </w:rPr>
          </w:pPr>
          <w:r w:rsidRPr="00376111">
            <w:rPr>
              <w:rFonts w:eastAsia="Times New Roman" w:cs="Times New Roman"/>
              <w:b/>
              <w:color w:val="000000" w:themeColor="text1"/>
              <w:sz w:val="32"/>
              <w:szCs w:val="32"/>
              <w:lang w:val="en-GB"/>
            </w:rPr>
            <w:t>Contents</w:t>
          </w:r>
        </w:p>
        <w:p w14:paraId="01028AFC" w14:textId="77777777" w:rsidR="00CB4848" w:rsidRPr="00373AC8" w:rsidRDefault="00CB4848" w:rsidP="00CB4848">
          <w:pPr>
            <w:pStyle w:val="a4"/>
            <w:rPr>
              <w:sz w:val="16"/>
              <w:szCs w:val="16"/>
              <w:lang w:val="en-GB"/>
            </w:rPr>
          </w:pPr>
        </w:p>
        <w:p w14:paraId="0DBB13E5" w14:textId="677987A8" w:rsidR="00CB4848" w:rsidRDefault="00CB4848">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r w:rsidRPr="00373AC8">
            <w:rPr>
              <w:lang w:val="en-GB"/>
            </w:rPr>
            <w:fldChar w:fldCharType="begin"/>
          </w:r>
          <w:r w:rsidRPr="00373AC8">
            <w:rPr>
              <w:lang w:val="en-GB"/>
            </w:rPr>
            <w:instrText xml:space="preserve"> TOC \o "1-1" \h \z \u </w:instrText>
          </w:r>
          <w:r w:rsidRPr="00373AC8">
            <w:rPr>
              <w:lang w:val="en-GB"/>
            </w:rPr>
            <w:fldChar w:fldCharType="separate"/>
          </w:r>
          <w:hyperlink w:anchor="_Toc165295226" w:history="1">
            <w:r w:rsidRPr="00775F63">
              <w:rPr>
                <w:rStyle w:val="a5"/>
                <w:rFonts w:cs="Times New Roman"/>
                <w:b/>
                <w:bCs/>
                <w:noProof/>
                <w:lang w:val="en-GB"/>
              </w:rPr>
              <w:t>1.</w:t>
            </w:r>
            <w:r>
              <w:rPr>
                <w:rFonts w:asciiTheme="minorHAnsi" w:eastAsiaTheme="minorEastAsia" w:hAnsiTheme="minorHAnsi"/>
                <w:noProof/>
                <w:kern w:val="2"/>
                <w:sz w:val="22"/>
                <w:lang w:val="ru-RU" w:eastAsia="ru-RU"/>
                <w14:ligatures w14:val="standardContextual"/>
              </w:rPr>
              <w:tab/>
            </w:r>
            <w:r w:rsidRPr="00775F63">
              <w:rPr>
                <w:rStyle w:val="a5"/>
                <w:rFonts w:eastAsia="Times New Roman" w:cs="Times New Roman"/>
                <w:b/>
                <w:bCs/>
                <w:noProof/>
                <w:lang w:val="en-GB"/>
              </w:rPr>
              <w:t>Introduction</w:t>
            </w:r>
            <w:r>
              <w:rPr>
                <w:noProof/>
                <w:webHidden/>
              </w:rPr>
              <w:tab/>
            </w:r>
            <w:r>
              <w:rPr>
                <w:noProof/>
                <w:webHidden/>
              </w:rPr>
              <w:fldChar w:fldCharType="begin"/>
            </w:r>
            <w:r>
              <w:rPr>
                <w:noProof/>
                <w:webHidden/>
              </w:rPr>
              <w:instrText xml:space="preserve"> PAGEREF _Toc165295226 \h </w:instrText>
            </w:r>
            <w:r>
              <w:rPr>
                <w:noProof/>
                <w:webHidden/>
              </w:rPr>
            </w:r>
            <w:r>
              <w:rPr>
                <w:noProof/>
                <w:webHidden/>
              </w:rPr>
              <w:fldChar w:fldCharType="separate"/>
            </w:r>
            <w:r w:rsidR="00636084">
              <w:rPr>
                <w:noProof/>
                <w:webHidden/>
              </w:rPr>
              <w:t>3</w:t>
            </w:r>
            <w:r>
              <w:rPr>
                <w:noProof/>
                <w:webHidden/>
              </w:rPr>
              <w:fldChar w:fldCharType="end"/>
            </w:r>
          </w:hyperlink>
        </w:p>
        <w:p w14:paraId="5CF6EEF6" w14:textId="7B9BC91C" w:rsidR="00CB4848" w:rsidRDefault="00831F4D">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27" w:history="1">
            <w:r w:rsidR="00CB4848" w:rsidRPr="00775F63">
              <w:rPr>
                <w:rStyle w:val="a5"/>
                <w:rFonts w:eastAsia="Times New Roman" w:cs="Times New Roman"/>
                <w:b/>
                <w:bCs/>
                <w:noProof/>
                <w:lang w:val="en-GB"/>
              </w:rPr>
              <w:t>2.</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Goals and Objectives of Specifications</w:t>
            </w:r>
            <w:r w:rsidR="00CB4848">
              <w:rPr>
                <w:noProof/>
                <w:webHidden/>
              </w:rPr>
              <w:tab/>
            </w:r>
            <w:r w:rsidR="00CB4848">
              <w:rPr>
                <w:noProof/>
                <w:webHidden/>
              </w:rPr>
              <w:fldChar w:fldCharType="begin"/>
            </w:r>
            <w:r w:rsidR="00CB4848">
              <w:rPr>
                <w:noProof/>
                <w:webHidden/>
              </w:rPr>
              <w:instrText xml:space="preserve"> PAGEREF _Toc165295227 \h </w:instrText>
            </w:r>
            <w:r w:rsidR="00CB4848">
              <w:rPr>
                <w:noProof/>
                <w:webHidden/>
              </w:rPr>
            </w:r>
            <w:r w:rsidR="00CB4848">
              <w:rPr>
                <w:noProof/>
                <w:webHidden/>
              </w:rPr>
              <w:fldChar w:fldCharType="separate"/>
            </w:r>
            <w:r w:rsidR="00636084">
              <w:rPr>
                <w:noProof/>
                <w:webHidden/>
              </w:rPr>
              <w:t>3</w:t>
            </w:r>
            <w:r w:rsidR="00CB4848">
              <w:rPr>
                <w:noProof/>
                <w:webHidden/>
              </w:rPr>
              <w:fldChar w:fldCharType="end"/>
            </w:r>
          </w:hyperlink>
        </w:p>
        <w:p w14:paraId="083A4B1B" w14:textId="07453B23" w:rsidR="00CB4848" w:rsidRDefault="00831F4D">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28" w:history="1">
            <w:r w:rsidR="00CB4848" w:rsidRPr="00775F63">
              <w:rPr>
                <w:rStyle w:val="a5"/>
                <w:rFonts w:eastAsia="Times New Roman" w:cs="Times New Roman"/>
                <w:b/>
                <w:bCs/>
                <w:noProof/>
                <w:lang w:val="en-GB"/>
              </w:rPr>
              <w:t>3.</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Requirements for Feasibility Study</w:t>
            </w:r>
            <w:r w:rsidR="00CB4848">
              <w:rPr>
                <w:noProof/>
                <w:webHidden/>
              </w:rPr>
              <w:tab/>
            </w:r>
            <w:r w:rsidR="00CB4848">
              <w:rPr>
                <w:noProof/>
                <w:webHidden/>
              </w:rPr>
              <w:fldChar w:fldCharType="begin"/>
            </w:r>
            <w:r w:rsidR="00CB4848">
              <w:rPr>
                <w:noProof/>
                <w:webHidden/>
              </w:rPr>
              <w:instrText xml:space="preserve"> PAGEREF _Toc165295228 \h </w:instrText>
            </w:r>
            <w:r w:rsidR="00CB4848">
              <w:rPr>
                <w:noProof/>
                <w:webHidden/>
              </w:rPr>
            </w:r>
            <w:r w:rsidR="00CB4848">
              <w:rPr>
                <w:noProof/>
                <w:webHidden/>
              </w:rPr>
              <w:fldChar w:fldCharType="separate"/>
            </w:r>
            <w:r w:rsidR="00636084">
              <w:rPr>
                <w:noProof/>
                <w:webHidden/>
              </w:rPr>
              <w:t>5</w:t>
            </w:r>
            <w:r w:rsidR="00CB4848">
              <w:rPr>
                <w:noProof/>
                <w:webHidden/>
              </w:rPr>
              <w:fldChar w:fldCharType="end"/>
            </w:r>
          </w:hyperlink>
        </w:p>
        <w:p w14:paraId="3F600853" w14:textId="72FEF47E" w:rsidR="00CB4848" w:rsidRDefault="00831F4D">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29" w:history="1">
            <w:r w:rsidR="00CB4848" w:rsidRPr="00775F63">
              <w:rPr>
                <w:rStyle w:val="a5"/>
                <w:rFonts w:eastAsia="Times New Roman" w:cs="Times New Roman"/>
                <w:b/>
                <w:bCs/>
                <w:noProof/>
                <w:lang w:val="en-GB"/>
              </w:rPr>
              <w:t>4.</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Requirements for Technical Documentation</w:t>
            </w:r>
            <w:r w:rsidR="00CB4848">
              <w:rPr>
                <w:noProof/>
                <w:webHidden/>
              </w:rPr>
              <w:tab/>
            </w:r>
            <w:r w:rsidR="00CB4848">
              <w:rPr>
                <w:noProof/>
                <w:webHidden/>
              </w:rPr>
              <w:fldChar w:fldCharType="begin"/>
            </w:r>
            <w:r w:rsidR="00CB4848">
              <w:rPr>
                <w:noProof/>
                <w:webHidden/>
              </w:rPr>
              <w:instrText xml:space="preserve"> PAGEREF _Toc165295229 \h </w:instrText>
            </w:r>
            <w:r w:rsidR="00CB4848">
              <w:rPr>
                <w:noProof/>
                <w:webHidden/>
              </w:rPr>
            </w:r>
            <w:r w:rsidR="00CB4848">
              <w:rPr>
                <w:noProof/>
                <w:webHidden/>
              </w:rPr>
              <w:fldChar w:fldCharType="separate"/>
            </w:r>
            <w:r w:rsidR="00636084">
              <w:rPr>
                <w:noProof/>
                <w:webHidden/>
              </w:rPr>
              <w:t>8</w:t>
            </w:r>
            <w:r w:rsidR="00CB4848">
              <w:rPr>
                <w:noProof/>
                <w:webHidden/>
              </w:rPr>
              <w:fldChar w:fldCharType="end"/>
            </w:r>
          </w:hyperlink>
        </w:p>
        <w:p w14:paraId="622C36DC" w14:textId="41D1F5BE" w:rsidR="00CB4848" w:rsidRDefault="00831F4D">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30" w:history="1">
            <w:r w:rsidR="00CB4848" w:rsidRPr="00775F63">
              <w:rPr>
                <w:rStyle w:val="a5"/>
                <w:rFonts w:eastAsia="Times New Roman" w:cs="Times New Roman"/>
                <w:b/>
                <w:bCs/>
                <w:noProof/>
                <w:lang w:val="en-GB"/>
              </w:rPr>
              <w:t>5.</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Requirements for Tender Documentation for procurement of the National Public Warning System “Mold-Alert”</w:t>
            </w:r>
            <w:r w:rsidR="00CB4848">
              <w:rPr>
                <w:noProof/>
                <w:webHidden/>
              </w:rPr>
              <w:tab/>
            </w:r>
            <w:r w:rsidR="00CB4848">
              <w:rPr>
                <w:noProof/>
                <w:webHidden/>
              </w:rPr>
              <w:fldChar w:fldCharType="begin"/>
            </w:r>
            <w:r w:rsidR="00CB4848">
              <w:rPr>
                <w:noProof/>
                <w:webHidden/>
              </w:rPr>
              <w:instrText xml:space="preserve"> PAGEREF _Toc165295230 \h </w:instrText>
            </w:r>
            <w:r w:rsidR="00CB4848">
              <w:rPr>
                <w:noProof/>
                <w:webHidden/>
              </w:rPr>
            </w:r>
            <w:r w:rsidR="00CB4848">
              <w:rPr>
                <w:noProof/>
                <w:webHidden/>
              </w:rPr>
              <w:fldChar w:fldCharType="separate"/>
            </w:r>
            <w:r w:rsidR="00636084">
              <w:rPr>
                <w:noProof/>
                <w:webHidden/>
              </w:rPr>
              <w:t>8</w:t>
            </w:r>
            <w:r w:rsidR="00CB4848">
              <w:rPr>
                <w:noProof/>
                <w:webHidden/>
              </w:rPr>
              <w:fldChar w:fldCharType="end"/>
            </w:r>
          </w:hyperlink>
        </w:p>
        <w:p w14:paraId="5541868A" w14:textId="155C3F5E" w:rsidR="00CB4848" w:rsidRDefault="00831F4D">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31" w:history="1">
            <w:r w:rsidR="00CB4848" w:rsidRPr="00775F63">
              <w:rPr>
                <w:rStyle w:val="a5"/>
                <w:rFonts w:eastAsia="Times New Roman" w:cs="Times New Roman"/>
                <w:b/>
                <w:bCs/>
                <w:noProof/>
                <w:lang w:val="en-GB"/>
              </w:rPr>
              <w:t>6.</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Timetable and deadlines</w:t>
            </w:r>
            <w:r w:rsidR="00CB4848">
              <w:rPr>
                <w:noProof/>
                <w:webHidden/>
              </w:rPr>
              <w:tab/>
            </w:r>
            <w:r w:rsidR="00CB4848">
              <w:rPr>
                <w:noProof/>
                <w:webHidden/>
              </w:rPr>
              <w:fldChar w:fldCharType="begin"/>
            </w:r>
            <w:r w:rsidR="00CB4848">
              <w:rPr>
                <w:noProof/>
                <w:webHidden/>
              </w:rPr>
              <w:instrText xml:space="preserve"> PAGEREF _Toc165295231 \h </w:instrText>
            </w:r>
            <w:r w:rsidR="00CB4848">
              <w:rPr>
                <w:noProof/>
                <w:webHidden/>
              </w:rPr>
            </w:r>
            <w:r w:rsidR="00CB4848">
              <w:rPr>
                <w:noProof/>
                <w:webHidden/>
              </w:rPr>
              <w:fldChar w:fldCharType="separate"/>
            </w:r>
            <w:r w:rsidR="00636084">
              <w:rPr>
                <w:noProof/>
                <w:webHidden/>
              </w:rPr>
              <w:t>8</w:t>
            </w:r>
            <w:r w:rsidR="00CB4848">
              <w:rPr>
                <w:noProof/>
                <w:webHidden/>
              </w:rPr>
              <w:fldChar w:fldCharType="end"/>
            </w:r>
          </w:hyperlink>
        </w:p>
        <w:p w14:paraId="4DD33632" w14:textId="4E7B29BC" w:rsidR="00CB4848" w:rsidRDefault="00831F4D">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32" w:history="1">
            <w:r w:rsidR="00CB4848" w:rsidRPr="00775F63">
              <w:rPr>
                <w:rStyle w:val="a5"/>
                <w:rFonts w:eastAsia="Times New Roman" w:cs="Times New Roman"/>
                <w:b/>
                <w:bCs/>
                <w:noProof/>
                <w:lang w:val="en-GB"/>
              </w:rPr>
              <w:t>7.</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Eligibility Criteria and Method of Estimation of Candidates’ Qualification Data</w:t>
            </w:r>
            <w:r w:rsidR="00CB4848">
              <w:rPr>
                <w:noProof/>
                <w:webHidden/>
              </w:rPr>
              <w:tab/>
            </w:r>
            <w:r w:rsidR="00CB4848">
              <w:rPr>
                <w:noProof/>
                <w:webHidden/>
              </w:rPr>
              <w:fldChar w:fldCharType="begin"/>
            </w:r>
            <w:r w:rsidR="00CB4848">
              <w:rPr>
                <w:noProof/>
                <w:webHidden/>
              </w:rPr>
              <w:instrText xml:space="preserve"> PAGEREF _Toc165295232 \h </w:instrText>
            </w:r>
            <w:r w:rsidR="00CB4848">
              <w:rPr>
                <w:noProof/>
                <w:webHidden/>
              </w:rPr>
            </w:r>
            <w:r w:rsidR="00CB4848">
              <w:rPr>
                <w:noProof/>
                <w:webHidden/>
              </w:rPr>
              <w:fldChar w:fldCharType="separate"/>
            </w:r>
            <w:r w:rsidR="00636084">
              <w:rPr>
                <w:noProof/>
                <w:webHidden/>
              </w:rPr>
              <w:t>9</w:t>
            </w:r>
            <w:r w:rsidR="00CB4848">
              <w:rPr>
                <w:noProof/>
                <w:webHidden/>
              </w:rPr>
              <w:fldChar w:fldCharType="end"/>
            </w:r>
          </w:hyperlink>
        </w:p>
        <w:p w14:paraId="3AD302BE" w14:textId="3647E7AF" w:rsidR="00CB4848" w:rsidRDefault="00831F4D">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33" w:history="1">
            <w:r w:rsidR="00CB4848" w:rsidRPr="00775F63">
              <w:rPr>
                <w:rStyle w:val="a5"/>
                <w:rFonts w:eastAsia="Times New Roman" w:cs="Times New Roman"/>
                <w:b/>
                <w:bCs/>
                <w:noProof/>
                <w:lang w:val="en-GB"/>
              </w:rPr>
              <w:t>8.</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Bid Evaluation Criteria/ Contract Award Criterion “Best Price-Quality Ratio”.</w:t>
            </w:r>
            <w:r w:rsidR="00CB4848">
              <w:rPr>
                <w:noProof/>
                <w:webHidden/>
              </w:rPr>
              <w:tab/>
            </w:r>
            <w:r w:rsidR="00CB4848">
              <w:rPr>
                <w:noProof/>
                <w:webHidden/>
              </w:rPr>
              <w:fldChar w:fldCharType="begin"/>
            </w:r>
            <w:r w:rsidR="00CB4848">
              <w:rPr>
                <w:noProof/>
                <w:webHidden/>
              </w:rPr>
              <w:instrText xml:space="preserve"> PAGEREF _Toc165295233 \h </w:instrText>
            </w:r>
            <w:r w:rsidR="00CB4848">
              <w:rPr>
                <w:noProof/>
                <w:webHidden/>
              </w:rPr>
            </w:r>
            <w:r w:rsidR="00CB4848">
              <w:rPr>
                <w:noProof/>
                <w:webHidden/>
              </w:rPr>
              <w:fldChar w:fldCharType="separate"/>
            </w:r>
            <w:r w:rsidR="00636084">
              <w:rPr>
                <w:noProof/>
                <w:webHidden/>
              </w:rPr>
              <w:t>10</w:t>
            </w:r>
            <w:r w:rsidR="00CB4848">
              <w:rPr>
                <w:noProof/>
                <w:webHidden/>
              </w:rPr>
              <w:fldChar w:fldCharType="end"/>
            </w:r>
          </w:hyperlink>
        </w:p>
        <w:p w14:paraId="4C1D000D" w14:textId="522E5988" w:rsidR="00CB4848" w:rsidRDefault="00831F4D">
          <w:pPr>
            <w:pStyle w:val="12"/>
            <w:tabs>
              <w:tab w:val="left" w:pos="440"/>
              <w:tab w:val="right" w:leader="dot" w:pos="10376"/>
            </w:tabs>
            <w:rPr>
              <w:rFonts w:asciiTheme="minorHAnsi" w:eastAsiaTheme="minorEastAsia" w:hAnsiTheme="minorHAnsi"/>
              <w:noProof/>
              <w:kern w:val="2"/>
              <w:sz w:val="22"/>
              <w:lang w:val="ru-RU" w:eastAsia="ru-RU"/>
              <w14:ligatures w14:val="standardContextual"/>
            </w:rPr>
          </w:pPr>
          <w:hyperlink w:anchor="_Toc165295234" w:history="1">
            <w:r w:rsidR="00CB4848" w:rsidRPr="00775F63">
              <w:rPr>
                <w:rStyle w:val="a5"/>
                <w:rFonts w:eastAsia="Times New Roman" w:cs="Times New Roman"/>
                <w:b/>
                <w:bCs/>
                <w:noProof/>
                <w:lang w:val="en-GB"/>
              </w:rPr>
              <w:t>9.</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Rules and Instructions for Bidders</w:t>
            </w:r>
            <w:r w:rsidR="00CB4848">
              <w:rPr>
                <w:noProof/>
                <w:webHidden/>
              </w:rPr>
              <w:tab/>
            </w:r>
            <w:r w:rsidR="00CB4848">
              <w:rPr>
                <w:noProof/>
                <w:webHidden/>
              </w:rPr>
              <w:fldChar w:fldCharType="begin"/>
            </w:r>
            <w:r w:rsidR="00CB4848">
              <w:rPr>
                <w:noProof/>
                <w:webHidden/>
              </w:rPr>
              <w:instrText xml:space="preserve"> PAGEREF _Toc165295234 \h </w:instrText>
            </w:r>
            <w:r w:rsidR="00CB4848">
              <w:rPr>
                <w:noProof/>
                <w:webHidden/>
              </w:rPr>
            </w:r>
            <w:r w:rsidR="00CB4848">
              <w:rPr>
                <w:noProof/>
                <w:webHidden/>
              </w:rPr>
              <w:fldChar w:fldCharType="separate"/>
            </w:r>
            <w:r w:rsidR="00636084">
              <w:rPr>
                <w:noProof/>
                <w:webHidden/>
              </w:rPr>
              <w:t>11</w:t>
            </w:r>
            <w:r w:rsidR="00CB4848">
              <w:rPr>
                <w:noProof/>
                <w:webHidden/>
              </w:rPr>
              <w:fldChar w:fldCharType="end"/>
            </w:r>
          </w:hyperlink>
        </w:p>
        <w:p w14:paraId="0F97C213" w14:textId="0C9E748F" w:rsidR="00CB4848" w:rsidRDefault="00831F4D">
          <w:pPr>
            <w:pStyle w:val="12"/>
            <w:tabs>
              <w:tab w:val="left" w:pos="660"/>
              <w:tab w:val="right" w:leader="dot" w:pos="10376"/>
            </w:tabs>
            <w:rPr>
              <w:rFonts w:asciiTheme="minorHAnsi" w:eastAsiaTheme="minorEastAsia" w:hAnsiTheme="minorHAnsi"/>
              <w:noProof/>
              <w:kern w:val="2"/>
              <w:sz w:val="22"/>
              <w:lang w:val="ru-RU" w:eastAsia="ru-RU"/>
              <w14:ligatures w14:val="standardContextual"/>
            </w:rPr>
          </w:pPr>
          <w:hyperlink w:anchor="_Toc165295235" w:history="1">
            <w:r w:rsidR="00CB4848" w:rsidRPr="00775F63">
              <w:rPr>
                <w:rStyle w:val="a5"/>
                <w:rFonts w:eastAsia="Times New Roman" w:cs="Times New Roman"/>
                <w:b/>
                <w:bCs/>
                <w:noProof/>
                <w:lang w:val="en-GB"/>
              </w:rPr>
              <w:t>10.</w:t>
            </w:r>
            <w:r w:rsidR="00CB4848">
              <w:rPr>
                <w:rFonts w:asciiTheme="minorHAnsi" w:eastAsiaTheme="minorEastAsia" w:hAnsiTheme="minorHAnsi"/>
                <w:noProof/>
                <w:kern w:val="2"/>
                <w:sz w:val="22"/>
                <w:lang w:val="ru-RU" w:eastAsia="ru-RU"/>
                <w14:ligatures w14:val="standardContextual"/>
              </w:rPr>
              <w:tab/>
            </w:r>
            <w:r w:rsidR="00CB4848" w:rsidRPr="00775F63">
              <w:rPr>
                <w:rStyle w:val="a5"/>
                <w:rFonts w:eastAsia="Times New Roman" w:cs="Times New Roman"/>
                <w:b/>
                <w:bCs/>
                <w:noProof/>
                <w:lang w:val="en-GB"/>
              </w:rPr>
              <w:t>Quality Control of Documentation drawn up under the Service Contract</w:t>
            </w:r>
            <w:r w:rsidR="00CB4848">
              <w:rPr>
                <w:noProof/>
                <w:webHidden/>
              </w:rPr>
              <w:tab/>
            </w:r>
            <w:r w:rsidR="00CB4848">
              <w:rPr>
                <w:noProof/>
                <w:webHidden/>
              </w:rPr>
              <w:fldChar w:fldCharType="begin"/>
            </w:r>
            <w:r w:rsidR="00CB4848">
              <w:rPr>
                <w:noProof/>
                <w:webHidden/>
              </w:rPr>
              <w:instrText xml:space="preserve"> PAGEREF _Toc165295235 \h </w:instrText>
            </w:r>
            <w:r w:rsidR="00CB4848">
              <w:rPr>
                <w:noProof/>
                <w:webHidden/>
              </w:rPr>
            </w:r>
            <w:r w:rsidR="00CB4848">
              <w:rPr>
                <w:noProof/>
                <w:webHidden/>
              </w:rPr>
              <w:fldChar w:fldCharType="separate"/>
            </w:r>
            <w:r w:rsidR="00636084">
              <w:rPr>
                <w:noProof/>
                <w:webHidden/>
              </w:rPr>
              <w:t>12</w:t>
            </w:r>
            <w:r w:rsidR="00CB4848">
              <w:rPr>
                <w:noProof/>
                <w:webHidden/>
              </w:rPr>
              <w:fldChar w:fldCharType="end"/>
            </w:r>
          </w:hyperlink>
        </w:p>
        <w:p w14:paraId="7D81D7AF" w14:textId="4BFD1417" w:rsidR="00CB4848" w:rsidRPr="00373AC8" w:rsidRDefault="00CB4848" w:rsidP="00CB4848">
          <w:pPr>
            <w:rPr>
              <w:lang w:val="en-GB"/>
            </w:rPr>
          </w:pPr>
          <w:r w:rsidRPr="00373AC8">
            <w:rPr>
              <w:lang w:val="en-GB"/>
            </w:rPr>
            <w:fldChar w:fldCharType="end"/>
          </w:r>
        </w:p>
      </w:sdtContent>
    </w:sdt>
    <w:p w14:paraId="793C432A" w14:textId="77777777" w:rsidR="00CB4848" w:rsidRPr="00373AC8" w:rsidRDefault="00CB4848" w:rsidP="00CB4848">
      <w:pPr>
        <w:rPr>
          <w:rFonts w:cs="Times New Roman"/>
          <w:sz w:val="28"/>
          <w:szCs w:val="28"/>
          <w:lang w:val="en-GB"/>
        </w:rPr>
      </w:pPr>
      <w:r w:rsidRPr="00373AC8">
        <w:rPr>
          <w:rFonts w:cs="Times New Roman"/>
          <w:sz w:val="28"/>
          <w:szCs w:val="28"/>
          <w:lang w:val="en-GB"/>
        </w:rPr>
        <w:br w:type="page"/>
      </w:r>
    </w:p>
    <w:p w14:paraId="17E9A65C" w14:textId="77777777" w:rsidR="00CB4848" w:rsidRPr="006B40E6" w:rsidRDefault="00CB4848" w:rsidP="00CB4848">
      <w:pPr>
        <w:pStyle w:val="a3"/>
        <w:numPr>
          <w:ilvl w:val="0"/>
          <w:numId w:val="1"/>
        </w:numPr>
        <w:spacing w:before="120"/>
        <w:ind w:left="317" w:hanging="357"/>
        <w:jc w:val="both"/>
        <w:outlineLvl w:val="0"/>
        <w:rPr>
          <w:rFonts w:cs="Times New Roman"/>
          <w:b/>
          <w:bCs/>
          <w:color w:val="000000" w:themeColor="text1"/>
          <w:sz w:val="28"/>
          <w:szCs w:val="28"/>
          <w:lang w:val="en-GB"/>
        </w:rPr>
      </w:pPr>
      <w:bookmarkStart w:id="0" w:name="_Toc165295226"/>
      <w:r w:rsidRPr="006B40E6">
        <w:rPr>
          <w:rFonts w:eastAsia="Times New Roman" w:cs="Times New Roman"/>
          <w:b/>
          <w:bCs/>
          <w:color w:val="000000" w:themeColor="text1"/>
          <w:sz w:val="28"/>
          <w:szCs w:val="28"/>
          <w:lang w:val="en-GB"/>
        </w:rPr>
        <w:lastRenderedPageBreak/>
        <w:t>Introduction</w:t>
      </w:r>
      <w:bookmarkEnd w:id="0"/>
    </w:p>
    <w:p w14:paraId="799FD3E3" w14:textId="77777777" w:rsidR="00CB4848" w:rsidRPr="006B40E6"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 xml:space="preserve">For the implementation of the Programme on Prevention and Management of Emergency Situations, approved by Government Decision No. 846/2022, in the light of the Peer Review Report for the Republic of Moldova prepared by the Directorate-General for European Civil Protection and Humanitarian Aid Operations of the European Commission, as well as to ensure the management of hazards at an early stage, the Specifications concerning procurement of services for development of Feasibility Study and specific documentation for implementation of the National </w:t>
      </w:r>
      <w:r>
        <w:rPr>
          <w:rFonts w:eastAsia="Times New Roman" w:cs="Times New Roman"/>
          <w:color w:val="000000" w:themeColor="text1"/>
          <w:sz w:val="28"/>
          <w:szCs w:val="28"/>
          <w:lang w:val="en-GB"/>
        </w:rPr>
        <w:t>Public</w:t>
      </w:r>
      <w:r w:rsidRPr="006B40E6">
        <w:rPr>
          <w:rFonts w:eastAsia="Times New Roman" w:cs="Times New Roman"/>
          <w:color w:val="000000" w:themeColor="text1"/>
          <w:sz w:val="28"/>
          <w:szCs w:val="28"/>
          <w:lang w:val="en-GB"/>
        </w:rPr>
        <w:t xml:space="preserve"> Warning System are drawn up.</w:t>
      </w:r>
    </w:p>
    <w:p w14:paraId="03909BB6" w14:textId="77777777" w:rsidR="00CB4848" w:rsidRPr="006B40E6"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The procurement pro</w:t>
      </w:r>
      <w:r>
        <w:rPr>
          <w:rFonts w:eastAsia="Times New Roman" w:cs="Times New Roman"/>
          <w:color w:val="000000" w:themeColor="text1"/>
          <w:sz w:val="28"/>
          <w:szCs w:val="28"/>
          <w:lang w:val="en-GB"/>
        </w:rPr>
        <w:t>cedure is conducted within the “</w:t>
      </w:r>
      <w:r w:rsidRPr="006B40E6">
        <w:rPr>
          <w:rFonts w:eastAsia="Times New Roman" w:cs="Times New Roman"/>
          <w:color w:val="000000" w:themeColor="text1"/>
          <w:sz w:val="28"/>
          <w:szCs w:val="28"/>
          <w:lang w:val="en-GB"/>
        </w:rPr>
        <w:t>Feasibility Study and Specific Documentation for the Implementation of th</w:t>
      </w:r>
      <w:r>
        <w:rPr>
          <w:rFonts w:eastAsia="Times New Roman" w:cs="Times New Roman"/>
          <w:color w:val="000000" w:themeColor="text1"/>
          <w:sz w:val="28"/>
          <w:szCs w:val="28"/>
          <w:lang w:val="en-GB"/>
        </w:rPr>
        <w:t>e National Early Warning System”</w:t>
      </w:r>
      <w:r w:rsidRPr="006B40E6">
        <w:rPr>
          <w:rFonts w:eastAsia="Times New Roman" w:cs="Times New Roman"/>
          <w:color w:val="000000" w:themeColor="text1"/>
          <w:sz w:val="28"/>
          <w:szCs w:val="28"/>
          <w:lang w:val="en-GB"/>
        </w:rPr>
        <w:t xml:space="preserve"> Project (MD-ALERT-STUDY), funded by the European Union.</w:t>
      </w:r>
    </w:p>
    <w:p w14:paraId="5DB24C7D" w14:textId="77777777" w:rsidR="00CB4848" w:rsidRPr="006B40E6" w:rsidRDefault="00CB4848" w:rsidP="00CB4848">
      <w:pPr>
        <w:pStyle w:val="a3"/>
        <w:numPr>
          <w:ilvl w:val="1"/>
          <w:numId w:val="1"/>
        </w:numPr>
        <w:tabs>
          <w:tab w:val="left" w:pos="1134"/>
        </w:tabs>
        <w:spacing w:before="40"/>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 xml:space="preserve">The subject matter of purchase is procurement of services for development of Feasibility Study and specific documentation for implementation of the National </w:t>
      </w:r>
      <w:r>
        <w:rPr>
          <w:rFonts w:eastAsia="Times New Roman" w:cs="Times New Roman"/>
          <w:color w:val="000000" w:themeColor="text1"/>
          <w:sz w:val="28"/>
          <w:szCs w:val="28"/>
          <w:lang w:val="en-GB"/>
        </w:rPr>
        <w:t>Public</w:t>
      </w:r>
      <w:r w:rsidRPr="006B40E6">
        <w:rPr>
          <w:rFonts w:eastAsia="Times New Roman" w:cs="Times New Roman"/>
          <w:color w:val="000000" w:themeColor="text1"/>
          <w:sz w:val="28"/>
          <w:szCs w:val="28"/>
          <w:lang w:val="en-GB"/>
        </w:rPr>
        <w:t xml:space="preserve"> Warning System (</w:t>
      </w:r>
      <w:r w:rsidRPr="006B40E6">
        <w:rPr>
          <w:rFonts w:eastAsia="Times New Roman" w:cs="Times New Roman"/>
          <w:b/>
          <w:bCs/>
          <w:color w:val="000000" w:themeColor="text1"/>
          <w:sz w:val="28"/>
          <w:szCs w:val="28"/>
          <w:lang w:val="en-GB"/>
        </w:rPr>
        <w:t>hereinafter - N</w:t>
      </w:r>
      <w:r>
        <w:rPr>
          <w:rFonts w:eastAsia="Times New Roman" w:cs="Times New Roman"/>
          <w:b/>
          <w:bCs/>
          <w:color w:val="000000" w:themeColor="text1"/>
          <w:sz w:val="28"/>
          <w:szCs w:val="28"/>
          <w:lang w:val="en-GB"/>
        </w:rPr>
        <w:t>P</w:t>
      </w:r>
      <w:r w:rsidRPr="006B40E6">
        <w:rPr>
          <w:rFonts w:eastAsia="Times New Roman" w:cs="Times New Roman"/>
          <w:b/>
          <w:bCs/>
          <w:color w:val="000000" w:themeColor="text1"/>
          <w:sz w:val="28"/>
          <w:szCs w:val="28"/>
          <w:lang w:val="en-GB"/>
        </w:rPr>
        <w:t>WS “Mold-Alert”</w:t>
      </w:r>
      <w:r w:rsidRPr="006B40E6">
        <w:rPr>
          <w:rFonts w:eastAsia="Times New Roman" w:cs="Times New Roman"/>
          <w:color w:val="000000" w:themeColor="text1"/>
          <w:sz w:val="28"/>
          <w:szCs w:val="28"/>
          <w:lang w:val="en-GB"/>
        </w:rPr>
        <w:t>) and other documents related to the procurement procedure of the N</w:t>
      </w:r>
      <w:r>
        <w:rPr>
          <w:rFonts w:eastAsia="Times New Roman" w:cs="Times New Roman"/>
          <w:color w:val="000000" w:themeColor="text1"/>
          <w:sz w:val="28"/>
          <w:szCs w:val="28"/>
          <w:lang w:val="en-GB"/>
        </w:rPr>
        <w:t>P</w:t>
      </w:r>
      <w:r w:rsidRPr="006B40E6">
        <w:rPr>
          <w:rFonts w:eastAsia="Times New Roman" w:cs="Times New Roman"/>
          <w:color w:val="000000" w:themeColor="text1"/>
          <w:sz w:val="28"/>
          <w:szCs w:val="28"/>
          <w:lang w:val="en-GB"/>
        </w:rPr>
        <w:t>WS “Mold-Alert” (</w:t>
      </w:r>
      <w:r w:rsidRPr="006B40E6">
        <w:rPr>
          <w:rFonts w:eastAsia="Times New Roman" w:cs="Times New Roman"/>
          <w:b/>
          <w:bCs/>
          <w:color w:val="000000" w:themeColor="text1"/>
          <w:sz w:val="28"/>
          <w:szCs w:val="28"/>
          <w:lang w:val="en-GB"/>
        </w:rPr>
        <w:t>hereinafter - documentation</w:t>
      </w:r>
      <w:r w:rsidRPr="006B40E6">
        <w:rPr>
          <w:rFonts w:eastAsia="Times New Roman" w:cs="Times New Roman"/>
          <w:color w:val="000000" w:themeColor="text1"/>
          <w:sz w:val="28"/>
          <w:szCs w:val="28"/>
          <w:lang w:val="en-GB"/>
        </w:rPr>
        <w:t>) based on technical feasibility, economic feasibility, operational requirements, national and international legal framework, considering the development trends of technologies over an operational period of at least 5 years from the time of implementation and launch of the N</w:t>
      </w:r>
      <w:r>
        <w:rPr>
          <w:rFonts w:eastAsia="Times New Roman" w:cs="Times New Roman"/>
          <w:color w:val="000000" w:themeColor="text1"/>
          <w:sz w:val="28"/>
          <w:szCs w:val="28"/>
          <w:lang w:val="en-GB"/>
        </w:rPr>
        <w:t>P</w:t>
      </w:r>
      <w:r w:rsidRPr="006B40E6">
        <w:rPr>
          <w:rFonts w:eastAsia="Times New Roman" w:cs="Times New Roman"/>
          <w:color w:val="000000" w:themeColor="text1"/>
          <w:sz w:val="28"/>
          <w:szCs w:val="28"/>
          <w:lang w:val="en-GB"/>
        </w:rPr>
        <w:t>WS “Mold-Alert” system.</w:t>
      </w:r>
    </w:p>
    <w:p w14:paraId="1C2D3A2B" w14:textId="77777777" w:rsidR="00CB4848" w:rsidRPr="006B40E6"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Procurement procedure will be conducted in compliance with the national public procurement rules set out in the Law of the Republic of Moldova No. 131/2015 on Public Procurement, Law of the Republic of Moldova No. 125/2016 on the Accession of the Republic of Moldova to the Agreement on Government Procurement and to the Agreement on Government Procurement as amended by the Protocol amending it and Directive 2014/24 of the European Parliament and of the Council of 26 February 2014 on public procurement.</w:t>
      </w:r>
    </w:p>
    <w:p w14:paraId="0E1D4689" w14:textId="77777777" w:rsidR="00CB4848" w:rsidRPr="00373AC8"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sz w:val="28"/>
          <w:szCs w:val="28"/>
          <w:lang w:val="en-GB"/>
        </w:rPr>
      </w:pPr>
      <w:r w:rsidRPr="006B40E6">
        <w:rPr>
          <w:rFonts w:eastAsia="Times New Roman" w:cs="Times New Roman"/>
          <w:color w:val="000000" w:themeColor="text1"/>
          <w:sz w:val="28"/>
          <w:szCs w:val="28"/>
          <w:lang w:val="en-GB"/>
        </w:rPr>
        <w:t xml:space="preserve">The list of normative documents, public procurement document templates and instructions can be found by accessing the official website of the Public Procurement Agency </w:t>
      </w:r>
      <w:hyperlink r:id="rId5" w:history="1">
        <w:r w:rsidRPr="00573429">
          <w:rPr>
            <w:rStyle w:val="a5"/>
            <w:rFonts w:eastAsia="Times New Roman" w:cs="Times New Roman"/>
            <w:sz w:val="28"/>
            <w:szCs w:val="28"/>
            <w:lang w:val="en-GB"/>
          </w:rPr>
          <w:t>https://tender.gov.md/ro</w:t>
        </w:r>
      </w:hyperlink>
      <w:r w:rsidRPr="00373AC8">
        <w:rPr>
          <w:rFonts w:eastAsia="Times New Roman" w:cs="Times New Roman"/>
          <w:color w:val="000000"/>
          <w:sz w:val="28"/>
          <w:szCs w:val="28"/>
          <w:lang w:val="en-GB"/>
        </w:rPr>
        <w:t xml:space="preserve">. </w:t>
      </w:r>
    </w:p>
    <w:p w14:paraId="1427B11E" w14:textId="77777777" w:rsidR="00CB4848" w:rsidRPr="006B40E6"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These Specifications shall mainly include general provisions and requirements, including quality requirements for documentation, the core content of the documentation, deadlines for delivery of documentation, requirements for participants in the tender, their obligations, responsibilities of provider and beneficiary, and guarantees of participation.</w:t>
      </w:r>
    </w:p>
    <w:p w14:paraId="51C279FB" w14:textId="77777777" w:rsidR="00CB4848" w:rsidRPr="006B40E6"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color w:val="000000" w:themeColor="text1"/>
          <w:sz w:val="28"/>
          <w:szCs w:val="28"/>
          <w:lang w:val="en-GB"/>
        </w:rPr>
        <w:t>The beneficiary of the documentation for ensuring implementation of the pro</w:t>
      </w:r>
      <w:r>
        <w:rPr>
          <w:rFonts w:eastAsia="Times New Roman" w:cs="Times New Roman"/>
          <w:color w:val="000000" w:themeColor="text1"/>
          <w:sz w:val="28"/>
          <w:szCs w:val="28"/>
          <w:lang w:val="en-GB"/>
        </w:rPr>
        <w:t>curement procedure of the NPWS “Mold-Alert”</w:t>
      </w:r>
      <w:r w:rsidRPr="006B40E6">
        <w:rPr>
          <w:rFonts w:eastAsia="Times New Roman" w:cs="Times New Roman"/>
          <w:color w:val="000000" w:themeColor="text1"/>
          <w:sz w:val="28"/>
          <w:szCs w:val="28"/>
          <w:lang w:val="en-GB"/>
        </w:rPr>
        <w:t>, prepared by the Provider, will be the General Inspectorate for Emergency Situations of the Ministry of Internal Affairs.</w:t>
      </w:r>
    </w:p>
    <w:p w14:paraId="2CCE60DC" w14:textId="77777777" w:rsidR="00CB4848" w:rsidRPr="006B40E6" w:rsidRDefault="00CB4848" w:rsidP="00CB4848">
      <w:pPr>
        <w:pStyle w:val="a3"/>
        <w:numPr>
          <w:ilvl w:val="0"/>
          <w:numId w:val="1"/>
        </w:numPr>
        <w:spacing w:before="120"/>
        <w:jc w:val="both"/>
        <w:outlineLvl w:val="0"/>
        <w:rPr>
          <w:rFonts w:eastAsia="Times New Roman" w:cs="Times New Roman"/>
          <w:b/>
          <w:bCs/>
          <w:color w:val="000000" w:themeColor="text1"/>
          <w:sz w:val="28"/>
          <w:szCs w:val="28"/>
          <w:lang w:val="en-GB"/>
        </w:rPr>
      </w:pPr>
      <w:bookmarkStart w:id="1" w:name="_Toc165295227"/>
      <w:r w:rsidRPr="006B40E6">
        <w:rPr>
          <w:rFonts w:eastAsia="Times New Roman" w:cs="Times New Roman"/>
          <w:b/>
          <w:bCs/>
          <w:color w:val="000000" w:themeColor="text1"/>
          <w:sz w:val="28"/>
          <w:szCs w:val="28"/>
          <w:lang w:val="en-GB"/>
        </w:rPr>
        <w:t>Goals and Objectives of Specifications</w:t>
      </w:r>
      <w:bookmarkEnd w:id="1"/>
    </w:p>
    <w:p w14:paraId="0466A720" w14:textId="77777777" w:rsidR="00CB4848" w:rsidRPr="00684D2E"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r w:rsidRPr="006B40E6">
        <w:rPr>
          <w:rFonts w:eastAsia="Times New Roman" w:cs="Times New Roman"/>
          <w:b/>
          <w:bCs/>
          <w:color w:val="000000" w:themeColor="text1"/>
          <w:sz w:val="28"/>
          <w:szCs w:val="28"/>
          <w:lang w:val="en-GB"/>
        </w:rPr>
        <w:t>Goal</w:t>
      </w:r>
      <w:r w:rsidRPr="006B40E6">
        <w:rPr>
          <w:rFonts w:eastAsia="Times New Roman" w:cs="Times New Roman"/>
          <w:color w:val="000000" w:themeColor="text1"/>
          <w:sz w:val="28"/>
          <w:szCs w:val="28"/>
          <w:lang w:val="en-GB"/>
        </w:rPr>
        <w:t>: Obtaining the Feasibility Study and specific documentation needed to serve as a basis for the successful implementation in the R</w:t>
      </w:r>
      <w:r>
        <w:rPr>
          <w:rFonts w:eastAsia="Times New Roman" w:cs="Times New Roman"/>
          <w:color w:val="000000" w:themeColor="text1"/>
          <w:sz w:val="28"/>
          <w:szCs w:val="28"/>
          <w:lang w:val="en-GB"/>
        </w:rPr>
        <w:t>epublic of Moldova of the NPWS “Mold-Alert”</w:t>
      </w:r>
      <w:r w:rsidRPr="006B40E6">
        <w:rPr>
          <w:rFonts w:eastAsia="Times New Roman" w:cs="Times New Roman"/>
          <w:color w:val="000000" w:themeColor="text1"/>
          <w:sz w:val="28"/>
          <w:szCs w:val="28"/>
          <w:lang w:val="en-GB"/>
        </w:rPr>
        <w:t xml:space="preserve"> in the event of emergency and exceptional situations, based on mobile </w:t>
      </w:r>
      <w:r w:rsidRPr="00684D2E">
        <w:rPr>
          <w:rFonts w:eastAsia="Times New Roman" w:cs="Times New Roman"/>
          <w:color w:val="000000" w:themeColor="text1"/>
          <w:sz w:val="28"/>
          <w:szCs w:val="28"/>
          <w:lang w:val="en-GB"/>
        </w:rPr>
        <w:t>communication technologies.</w:t>
      </w:r>
    </w:p>
    <w:p w14:paraId="712629E0" w14:textId="77777777" w:rsidR="00CB4848" w:rsidRPr="00EC28E1" w:rsidRDefault="00CB4848" w:rsidP="00CB4848">
      <w:pPr>
        <w:numPr>
          <w:ilvl w:val="1"/>
          <w:numId w:val="1"/>
        </w:numPr>
        <w:pBdr>
          <w:top w:val="nil"/>
          <w:left w:val="nil"/>
          <w:bottom w:val="nil"/>
          <w:right w:val="nil"/>
          <w:between w:val="nil"/>
        </w:pBdr>
        <w:tabs>
          <w:tab w:val="left" w:pos="1134"/>
        </w:tabs>
        <w:ind w:left="284" w:firstLine="284"/>
        <w:jc w:val="both"/>
        <w:rPr>
          <w:rFonts w:eastAsia="Times New Roman" w:cs="Times New Roman"/>
          <w:b/>
          <w:bCs/>
          <w:color w:val="000000" w:themeColor="text1"/>
          <w:sz w:val="28"/>
          <w:szCs w:val="28"/>
          <w:lang w:val="en-GB"/>
        </w:rPr>
      </w:pPr>
      <w:r w:rsidRPr="00EC28E1">
        <w:rPr>
          <w:rFonts w:eastAsia="Times New Roman" w:cs="Times New Roman"/>
          <w:b/>
          <w:bCs/>
          <w:color w:val="000000" w:themeColor="text1"/>
          <w:sz w:val="28"/>
          <w:szCs w:val="28"/>
          <w:lang w:val="en-GB"/>
        </w:rPr>
        <w:t>Objectives</w:t>
      </w:r>
    </w:p>
    <w:p w14:paraId="60215981" w14:textId="77777777" w:rsidR="00CB4848" w:rsidRPr="00EC28E1" w:rsidRDefault="00CB4848" w:rsidP="00CB4848">
      <w:pPr>
        <w:pStyle w:val="a3"/>
        <w:numPr>
          <w:ilvl w:val="2"/>
          <w:numId w:val="1"/>
        </w:numPr>
        <w:tabs>
          <w:tab w:val="left" w:pos="1276"/>
        </w:tabs>
        <w:spacing w:before="120"/>
        <w:ind w:left="0" w:firstLine="709"/>
        <w:jc w:val="both"/>
        <w:rPr>
          <w:rFonts w:eastAsia="Times New Roman" w:cs="Times New Roman"/>
          <w:bCs/>
          <w:color w:val="000000" w:themeColor="text1"/>
          <w:sz w:val="28"/>
          <w:szCs w:val="28"/>
          <w:lang w:val="en-GB"/>
        </w:rPr>
      </w:pPr>
      <w:r w:rsidRPr="00EC28E1">
        <w:rPr>
          <w:rFonts w:eastAsia="Times New Roman" w:cs="Times New Roman"/>
          <w:color w:val="000000" w:themeColor="text1"/>
          <w:sz w:val="28"/>
          <w:szCs w:val="28"/>
          <w:lang w:val="en-GB"/>
        </w:rPr>
        <w:t>The main objectives of these Specifications are:</w:t>
      </w:r>
    </w:p>
    <w:p w14:paraId="7A738FB0" w14:textId="77777777" w:rsidR="00CB4848" w:rsidRPr="00EC28E1" w:rsidRDefault="00CB4848" w:rsidP="00CB4848">
      <w:pPr>
        <w:pStyle w:val="a3"/>
        <w:numPr>
          <w:ilvl w:val="0"/>
          <w:numId w:val="9"/>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lastRenderedPageBreak/>
        <w:t>Feasibility Study for implementing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in the Republic of Moldova, developed;</w:t>
      </w:r>
    </w:p>
    <w:p w14:paraId="3E5C4D5F" w14:textId="77777777" w:rsidR="00CB4848" w:rsidRPr="00EC28E1" w:rsidRDefault="00CB4848" w:rsidP="00CB4848">
      <w:pPr>
        <w:pStyle w:val="a3"/>
        <w:numPr>
          <w:ilvl w:val="0"/>
          <w:numId w:val="9"/>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for technological solution identified in the Feasibility Study (technologies, equipment, software) required for the procurement and implementation phase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developed;</w:t>
      </w:r>
    </w:p>
    <w:p w14:paraId="761107DB" w14:textId="77777777" w:rsidR="00CB4848" w:rsidRPr="00EC28E1" w:rsidRDefault="00CB4848" w:rsidP="00CB4848">
      <w:pPr>
        <w:pStyle w:val="a3"/>
        <w:numPr>
          <w:ilvl w:val="0"/>
          <w:numId w:val="9"/>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 xml:space="preserve"> tender documentation and other documents related to the N</w:t>
      </w:r>
      <w:r>
        <w:rPr>
          <w:rFonts w:eastAsia="Times New Roman" w:cs="Times New Roman"/>
          <w:color w:val="000000" w:themeColor="text1"/>
          <w:sz w:val="28"/>
          <w:szCs w:val="28"/>
        </w:rPr>
        <w:t>P</w:t>
      </w:r>
      <w:r w:rsidRPr="00EC28E1">
        <w:rPr>
          <w:rFonts w:eastAsia="Times New Roman" w:cs="Times New Roman"/>
          <w:color w:val="000000" w:themeColor="text1"/>
          <w:sz w:val="28"/>
          <w:szCs w:val="28"/>
        </w:rPr>
        <w:t>WS “Mold-Alert” procurement procedure (bidding documents), developed.</w:t>
      </w:r>
    </w:p>
    <w:p w14:paraId="06674E4E" w14:textId="77777777" w:rsidR="00CB4848" w:rsidRPr="00EC28E1" w:rsidRDefault="00CB4848" w:rsidP="00CB4848">
      <w:pPr>
        <w:pStyle w:val="a3"/>
        <w:numPr>
          <w:ilvl w:val="2"/>
          <w:numId w:val="1"/>
        </w:numPr>
        <w:tabs>
          <w:tab w:val="left" w:pos="1134"/>
        </w:tabs>
        <w:spacing w:before="120"/>
        <w:ind w:left="284" w:firstLine="283"/>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Other objectives pursued are: </w:t>
      </w:r>
    </w:p>
    <w:p w14:paraId="4433AF9F"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identify the most appropriate technical and economic solution (including cost-efficiency ratio) for creating and implementing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to warn the population in case of danger or emergency situations;</w:t>
      </w:r>
    </w:p>
    <w:p w14:paraId="0DE543D3"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identify and evaluate the social and economic impact of implementing the proposed technical solution;</w:t>
      </w:r>
    </w:p>
    <w:p w14:paraId="2F67C00F"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estimate the costs of implementation, maintenance for a minimum period of 5 years and operational costs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w:t>
      </w:r>
    </w:p>
    <w:p w14:paraId="3A3FC116"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to provide a comprehensive technical and economic basis for the selected technical solution; </w:t>
      </w:r>
    </w:p>
    <w:p w14:paraId="3ADF4754"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evaluate the current legal framework relevant to the field under consideration;</w:t>
      </w:r>
    </w:p>
    <w:p w14:paraId="22C02F4B"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risk analysis associated with the implementation of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 xml:space="preserve">WS “Mold-Alert” system; </w:t>
      </w:r>
    </w:p>
    <w:p w14:paraId="41E3188D" w14:textId="420770C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prepare the tender documentation for the procurement and implementation procedure of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 xml:space="preserve">WS “Mold-Alert” in </w:t>
      </w:r>
      <w:r w:rsidR="00636084">
        <w:rPr>
          <w:rFonts w:eastAsia="Times New Roman" w:cs="Times New Roman"/>
          <w:color w:val="000000" w:themeColor="text1"/>
          <w:sz w:val="28"/>
          <w:szCs w:val="28"/>
          <w:lang w:val="en-GB"/>
        </w:rPr>
        <w:t>accordance with the applicable Standard Procurement Documents of the World Bank</w:t>
      </w:r>
      <w:r w:rsidRPr="00EC28E1">
        <w:rPr>
          <w:rFonts w:eastAsia="Times New Roman" w:cs="Times New Roman"/>
          <w:color w:val="000000" w:themeColor="text1"/>
          <w:sz w:val="28"/>
          <w:szCs w:val="28"/>
          <w:lang w:val="en-GB"/>
        </w:rPr>
        <w:t>;</w:t>
      </w:r>
    </w:p>
    <w:p w14:paraId="4031BDED" w14:textId="77777777" w:rsidR="00CB4848" w:rsidRPr="00EC28E1" w:rsidRDefault="00CB4848" w:rsidP="00CB4848">
      <w:pPr>
        <w:numPr>
          <w:ilvl w:val="0"/>
          <w:numId w:val="2"/>
        </w:numPr>
        <w:pBdr>
          <w:top w:val="nil"/>
          <w:left w:val="nil"/>
          <w:bottom w:val="nil"/>
          <w:right w:val="nil"/>
          <w:between w:val="nil"/>
        </w:pBdr>
        <w:tabs>
          <w:tab w:val="left" w:pos="1134"/>
        </w:tabs>
        <w:ind w:left="0" w:firstLine="709"/>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to prepare the impact assessment for substantiating the draft normative documents to be developed/amended.</w:t>
      </w:r>
    </w:p>
    <w:p w14:paraId="4F500BBB" w14:textId="77777777" w:rsidR="00CB4848" w:rsidRPr="00EC28E1" w:rsidRDefault="00CB4848" w:rsidP="00CB4848">
      <w:pPr>
        <w:numPr>
          <w:ilvl w:val="1"/>
          <w:numId w:val="1"/>
        </w:numPr>
        <w:pBdr>
          <w:top w:val="nil"/>
          <w:left w:val="nil"/>
          <w:bottom w:val="nil"/>
          <w:right w:val="nil"/>
          <w:between w:val="nil"/>
        </w:pBdr>
        <w:tabs>
          <w:tab w:val="left" w:pos="851"/>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overall content of the documentation</w:t>
      </w:r>
    </w:p>
    <w:p w14:paraId="4CDEEE95" w14:textId="77777777" w:rsidR="00CB4848" w:rsidRPr="00EC28E1" w:rsidRDefault="00CB4848" w:rsidP="00CB4848">
      <w:pPr>
        <w:pStyle w:val="a3"/>
        <w:numPr>
          <w:ilvl w:val="2"/>
          <w:numId w:val="1"/>
        </w:numPr>
        <w:tabs>
          <w:tab w:val="left" w:pos="1418"/>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Feasibility Study will comprise:</w:t>
      </w:r>
    </w:p>
    <w:p w14:paraId="1F73A851" w14:textId="77777777" w:rsidR="00CB4848" w:rsidRPr="00EC28E1" w:rsidRDefault="00CB4848" w:rsidP="00CB4848">
      <w:pPr>
        <w:pStyle w:val="a3"/>
        <w:numPr>
          <w:ilvl w:val="0"/>
          <w:numId w:val="5"/>
        </w:numPr>
        <w:pBdr>
          <w:top w:val="nil"/>
          <w:left w:val="nil"/>
          <w:bottom w:val="nil"/>
          <w:right w:val="nil"/>
          <w:between w:val="nil"/>
        </w:pBdr>
        <w:tabs>
          <w:tab w:val="left" w:pos="1134"/>
          <w:tab w:val="left" w:pos="1418"/>
        </w:tabs>
        <w:ind w:left="0" w:firstLine="567"/>
        <w:jc w:val="both"/>
        <w:rPr>
          <w:rFonts w:eastAsia="Times New Roman" w:cs="Times New Roman"/>
          <w:b/>
          <w:color w:val="000000" w:themeColor="text1"/>
          <w:sz w:val="28"/>
          <w:szCs w:val="28"/>
          <w:lang w:val="en-GB"/>
        </w:rPr>
      </w:pPr>
      <w:r w:rsidRPr="00EC28E1">
        <w:rPr>
          <w:rFonts w:eastAsia="Times New Roman" w:cs="Times New Roman"/>
          <w:b/>
          <w:color w:val="000000" w:themeColor="text1"/>
          <w:sz w:val="28"/>
          <w:szCs w:val="28"/>
          <w:lang w:val="en-GB"/>
        </w:rPr>
        <w:t>General provisions, including but not limited to:</w:t>
      </w:r>
    </w:p>
    <w:p w14:paraId="330CEB44" w14:textId="77777777" w:rsidR="00CB4848" w:rsidRPr="00EC28E1" w:rsidRDefault="00CB4848" w:rsidP="00CB4848">
      <w:pPr>
        <w:pStyle w:val="a3"/>
        <w:numPr>
          <w:ilvl w:val="0"/>
          <w:numId w:val="3"/>
        </w:numPr>
        <w:pBdr>
          <w:top w:val="nil"/>
          <w:left w:val="nil"/>
          <w:bottom w:val="nil"/>
          <w:right w:val="nil"/>
          <w:between w:val="nil"/>
        </w:pBdr>
        <w:tabs>
          <w:tab w:val="left" w:pos="1701"/>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general information on the investment purpose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w:t>
      </w:r>
    </w:p>
    <w:p w14:paraId="11AA6041" w14:textId="77777777" w:rsidR="00CB4848" w:rsidRPr="00EC28E1" w:rsidRDefault="00CB4848" w:rsidP="00CB4848">
      <w:pPr>
        <w:pStyle w:val="a3"/>
        <w:numPr>
          <w:ilvl w:val="0"/>
          <w:numId w:val="3"/>
        </w:numPr>
        <w:pBdr>
          <w:top w:val="nil"/>
          <w:left w:val="nil"/>
          <w:bottom w:val="nil"/>
          <w:right w:val="nil"/>
          <w:between w:val="nil"/>
        </w:pBdr>
        <w:tabs>
          <w:tab w:val="left" w:pos="1701"/>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main investor, if applicable, secondary investor;</w:t>
      </w:r>
    </w:p>
    <w:p w14:paraId="503B5B34" w14:textId="77777777" w:rsidR="00CB4848" w:rsidRPr="00EC28E1" w:rsidRDefault="00CB4848" w:rsidP="00CB4848">
      <w:pPr>
        <w:pStyle w:val="a3"/>
        <w:numPr>
          <w:ilvl w:val="0"/>
          <w:numId w:val="3"/>
        </w:numPr>
        <w:pBdr>
          <w:top w:val="nil"/>
          <w:left w:val="nil"/>
          <w:bottom w:val="nil"/>
          <w:right w:val="nil"/>
          <w:between w:val="nil"/>
        </w:pBdr>
        <w:tabs>
          <w:tab w:val="left" w:pos="1701"/>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beneficiary of the investment;</w:t>
      </w:r>
    </w:p>
    <w:p w14:paraId="1026BF92" w14:textId="77777777" w:rsidR="00CB4848" w:rsidRPr="00EC28E1" w:rsidRDefault="00CB4848" w:rsidP="00CB4848">
      <w:pPr>
        <w:pStyle w:val="a3"/>
        <w:numPr>
          <w:ilvl w:val="0"/>
          <w:numId w:val="3"/>
        </w:numPr>
        <w:pBdr>
          <w:top w:val="nil"/>
          <w:left w:val="nil"/>
          <w:bottom w:val="nil"/>
          <w:right w:val="nil"/>
          <w:between w:val="nil"/>
        </w:pBdr>
        <w:tabs>
          <w:tab w:val="left" w:pos="1701"/>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developer of the Feasibility Study and specific documentation.</w:t>
      </w:r>
    </w:p>
    <w:p w14:paraId="39900A2C" w14:textId="77777777" w:rsidR="00CB4848" w:rsidRPr="00EC28E1" w:rsidRDefault="00CB4848" w:rsidP="00CB4848">
      <w:pPr>
        <w:pStyle w:val="a3"/>
        <w:numPr>
          <w:ilvl w:val="0"/>
          <w:numId w:val="5"/>
        </w:numPr>
        <w:pBdr>
          <w:top w:val="nil"/>
          <w:left w:val="nil"/>
          <w:bottom w:val="nil"/>
          <w:right w:val="nil"/>
          <w:between w:val="nil"/>
        </w:pBdr>
        <w:tabs>
          <w:tab w:val="left" w:pos="1134"/>
          <w:tab w:val="left" w:pos="1418"/>
        </w:tabs>
        <w:ind w:left="0" w:firstLine="567"/>
        <w:jc w:val="both"/>
        <w:rPr>
          <w:rFonts w:eastAsia="Times New Roman" w:cs="Times New Roman"/>
          <w:b/>
          <w:color w:val="000000" w:themeColor="text1"/>
          <w:sz w:val="28"/>
          <w:szCs w:val="28"/>
          <w:lang w:val="en-GB"/>
        </w:rPr>
      </w:pPr>
      <w:r w:rsidRPr="00EC28E1">
        <w:rPr>
          <w:rFonts w:eastAsia="Times New Roman" w:cs="Times New Roman"/>
          <w:b/>
          <w:color w:val="000000" w:themeColor="text1"/>
          <w:sz w:val="28"/>
          <w:szCs w:val="28"/>
          <w:lang w:val="en-GB"/>
        </w:rPr>
        <w:t>Current situation and the need for development of the N</w:t>
      </w:r>
      <w:r>
        <w:rPr>
          <w:rFonts w:eastAsia="Times New Roman" w:cs="Times New Roman"/>
          <w:b/>
          <w:color w:val="000000" w:themeColor="text1"/>
          <w:sz w:val="28"/>
          <w:szCs w:val="28"/>
          <w:lang w:val="en-GB"/>
        </w:rPr>
        <w:t>P</w:t>
      </w:r>
      <w:r w:rsidRPr="00EC28E1">
        <w:rPr>
          <w:rFonts w:eastAsia="Times New Roman" w:cs="Times New Roman"/>
          <w:b/>
          <w:color w:val="000000" w:themeColor="text1"/>
          <w:sz w:val="28"/>
          <w:szCs w:val="28"/>
          <w:lang w:val="en-GB"/>
        </w:rPr>
        <w:t xml:space="preserve">WS “Mold-Alert” system, including but not limited to:  </w:t>
      </w:r>
    </w:p>
    <w:p w14:paraId="65E3146C" w14:textId="77777777" w:rsidR="00CB4848" w:rsidRPr="00EC28E1" w:rsidRDefault="00CB4848" w:rsidP="00CB4848">
      <w:pPr>
        <w:pStyle w:val="a3"/>
        <w:numPr>
          <w:ilvl w:val="0"/>
          <w:numId w:val="6"/>
        </w:numPr>
        <w:pBdr>
          <w:top w:val="nil"/>
          <w:left w:val="nil"/>
          <w:bottom w:val="nil"/>
          <w:right w:val="nil"/>
          <w:between w:val="nil"/>
        </w:pBdr>
        <w:tabs>
          <w:tab w:val="left" w:pos="1276"/>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presentation of the context: relevant policies, strategies, legislation and agreements, institutional and financial structures (MD and EU), including gaps in legislation;</w:t>
      </w:r>
    </w:p>
    <w:p w14:paraId="5393564A" w14:textId="77777777" w:rsidR="00CB4848" w:rsidRPr="00EC28E1" w:rsidRDefault="00CB4848" w:rsidP="00CB4848">
      <w:pPr>
        <w:pStyle w:val="a3"/>
        <w:numPr>
          <w:ilvl w:val="0"/>
          <w:numId w:val="6"/>
        </w:numPr>
        <w:pBdr>
          <w:top w:val="nil"/>
          <w:left w:val="nil"/>
          <w:bottom w:val="nil"/>
          <w:right w:val="nil"/>
          <w:between w:val="nil"/>
        </w:pBdr>
        <w:tabs>
          <w:tab w:val="left" w:pos="1276"/>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preliminary analysis of the situation, need and opportunity to implement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in the Republic of Moldova, as well as shortcomings (social impact, risk factors, impact on environmental factors, estimations of manpower involved, etc.);</w:t>
      </w:r>
    </w:p>
    <w:p w14:paraId="566233AB" w14:textId="77777777" w:rsidR="00CB4848" w:rsidRPr="00EC28E1" w:rsidRDefault="00CB4848" w:rsidP="00CB4848">
      <w:pPr>
        <w:pStyle w:val="a3"/>
        <w:numPr>
          <w:ilvl w:val="0"/>
          <w:numId w:val="6"/>
        </w:numPr>
        <w:pBdr>
          <w:top w:val="nil"/>
          <w:left w:val="nil"/>
          <w:bottom w:val="nil"/>
          <w:right w:val="nil"/>
          <w:between w:val="nil"/>
        </w:pBdr>
        <w:tabs>
          <w:tab w:val="left" w:pos="1276"/>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objectives expected to be achieved following the implementation of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w:t>
      </w:r>
    </w:p>
    <w:p w14:paraId="1064F859" w14:textId="77777777" w:rsidR="00CB4848" w:rsidRPr="00EC28E1" w:rsidRDefault="00CB4848" w:rsidP="00CB4848">
      <w:pPr>
        <w:pStyle w:val="a3"/>
        <w:numPr>
          <w:ilvl w:val="0"/>
          <w:numId w:val="5"/>
        </w:numPr>
        <w:pBdr>
          <w:top w:val="nil"/>
          <w:left w:val="nil"/>
          <w:bottom w:val="nil"/>
          <w:right w:val="nil"/>
          <w:between w:val="nil"/>
        </w:pBdr>
        <w:tabs>
          <w:tab w:val="left" w:pos="1134"/>
          <w:tab w:val="left" w:pos="1418"/>
        </w:tabs>
        <w:ind w:left="0" w:firstLine="567"/>
        <w:jc w:val="both"/>
        <w:rPr>
          <w:rFonts w:eastAsia="Times New Roman" w:cs="Times New Roman"/>
          <w:b/>
          <w:color w:val="000000" w:themeColor="text1"/>
          <w:sz w:val="28"/>
          <w:szCs w:val="28"/>
          <w:lang w:val="en-GB"/>
        </w:rPr>
      </w:pPr>
      <w:r w:rsidRPr="00EC28E1">
        <w:rPr>
          <w:rFonts w:eastAsia="Times New Roman" w:cs="Times New Roman"/>
          <w:b/>
          <w:color w:val="000000" w:themeColor="text1"/>
          <w:sz w:val="28"/>
          <w:szCs w:val="28"/>
          <w:lang w:val="en-GB"/>
        </w:rPr>
        <w:t>Identification and presentation of possible technical-economic solutions, including but not limited to:</w:t>
      </w:r>
    </w:p>
    <w:p w14:paraId="0C981DEA" w14:textId="77777777" w:rsidR="00CB4848" w:rsidRPr="00EC28E1" w:rsidRDefault="00CB4848" w:rsidP="00CB4848">
      <w:pPr>
        <w:pStyle w:val="a3"/>
        <w:numPr>
          <w:ilvl w:val="0"/>
          <w:numId w:val="7"/>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lastRenderedPageBreak/>
        <w:t>a limited number, at least 2 technological solutions based on the existing infrastructure in the Republic of Moldova, and at least 2 scenarios or options for each of the feasible solutions to achieve the investment purpose -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analysed in the Feasibility Study and specific documentation;</w:t>
      </w:r>
    </w:p>
    <w:p w14:paraId="42C05A99" w14:textId="77777777" w:rsidR="00CB4848" w:rsidRPr="00EC28E1" w:rsidRDefault="00CB4848" w:rsidP="00CB4848">
      <w:pPr>
        <w:pStyle w:val="a3"/>
        <w:numPr>
          <w:ilvl w:val="0"/>
          <w:numId w:val="7"/>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strategy for implementation, exploitation and operation of the system, including identification of the technological component of the technical solution of the system;</w:t>
      </w:r>
    </w:p>
    <w:p w14:paraId="68606916" w14:textId="77777777" w:rsidR="00CB4848" w:rsidRPr="00EC28E1" w:rsidRDefault="00CB4848" w:rsidP="00CB4848">
      <w:pPr>
        <w:pStyle w:val="a3"/>
        <w:numPr>
          <w:ilvl w:val="0"/>
          <w:numId w:val="7"/>
        </w:numPr>
        <w:pBdr>
          <w:top w:val="nil"/>
          <w:left w:val="nil"/>
          <w:bottom w:val="nil"/>
          <w:right w:val="nil"/>
          <w:between w:val="nil"/>
        </w:pBdr>
        <w:tabs>
          <w:tab w:val="left" w:pos="1276"/>
          <w:tab w:val="left" w:pos="1560"/>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main technical-economic indicators relating to the proposed technical solution or option which will include:</w:t>
      </w:r>
    </w:p>
    <w:p w14:paraId="55AC5219" w14:textId="77777777" w:rsidR="00CB4848" w:rsidRPr="00EC28E1" w:rsidRDefault="00CB4848" w:rsidP="00CB4848">
      <w:pPr>
        <w:pStyle w:val="a3"/>
        <w:numPr>
          <w:ilvl w:val="0"/>
          <w:numId w:val="4"/>
        </w:numPr>
        <w:pBdr>
          <w:top w:val="nil"/>
          <w:left w:val="nil"/>
          <w:bottom w:val="nil"/>
          <w:right w:val="nil"/>
          <w:between w:val="nil"/>
        </w:pBdr>
        <w:tabs>
          <w:tab w:val="left" w:pos="1276"/>
          <w:tab w:val="left" w:pos="1985"/>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maximum indicators, i.e. the total value of the proposed technical solution, in EUR;</w:t>
      </w:r>
    </w:p>
    <w:p w14:paraId="4ED67281" w14:textId="77777777" w:rsidR="00CB4848" w:rsidRPr="00EC28E1" w:rsidRDefault="00CB4848" w:rsidP="00CB4848">
      <w:pPr>
        <w:pStyle w:val="a3"/>
        <w:numPr>
          <w:ilvl w:val="0"/>
          <w:numId w:val="4"/>
        </w:numPr>
        <w:pBdr>
          <w:top w:val="nil"/>
          <w:left w:val="nil"/>
          <w:bottom w:val="nil"/>
          <w:right w:val="nil"/>
          <w:between w:val="nil"/>
        </w:pBdr>
        <w:tabs>
          <w:tab w:val="left" w:pos="1276"/>
          <w:tab w:val="left" w:pos="1985"/>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minimum indicators, i.e. performance and quality indicators of the proposed technical solution according to the applicable standards;</w:t>
      </w:r>
    </w:p>
    <w:p w14:paraId="13F3AE82" w14:textId="77777777" w:rsidR="00CB4848" w:rsidRPr="00EC28E1" w:rsidRDefault="00CB4848" w:rsidP="00CB4848">
      <w:pPr>
        <w:pStyle w:val="a3"/>
        <w:numPr>
          <w:ilvl w:val="0"/>
          <w:numId w:val="4"/>
        </w:numPr>
        <w:pBdr>
          <w:top w:val="nil"/>
          <w:left w:val="nil"/>
          <w:bottom w:val="nil"/>
          <w:right w:val="nil"/>
          <w:between w:val="nil"/>
        </w:pBdr>
        <w:tabs>
          <w:tab w:val="left" w:pos="1276"/>
          <w:tab w:val="left" w:pos="1985"/>
        </w:tabs>
        <w:ind w:left="0" w:firstLine="851"/>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financial, social-economic, impact, result and operational indicators, established according to the proposed technical solution;</w:t>
      </w:r>
    </w:p>
    <w:p w14:paraId="067A7D6F" w14:textId="77777777" w:rsidR="00CB4848" w:rsidRPr="00EC28E1" w:rsidRDefault="00CB4848" w:rsidP="00CB4848">
      <w:pPr>
        <w:pStyle w:val="a3"/>
        <w:numPr>
          <w:ilvl w:val="0"/>
          <w:numId w:val="4"/>
        </w:numPr>
        <w:pBdr>
          <w:top w:val="nil"/>
          <w:left w:val="nil"/>
          <w:bottom w:val="nil"/>
          <w:right w:val="nil"/>
          <w:between w:val="nil"/>
        </w:pBdr>
        <w:tabs>
          <w:tab w:val="left" w:pos="1276"/>
          <w:tab w:val="left" w:pos="1985"/>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estimated duration of implementation of the proposed technical solution, including by modules, in months;</w:t>
      </w:r>
    </w:p>
    <w:p w14:paraId="242AB463" w14:textId="77777777" w:rsidR="00CB4848" w:rsidRPr="00EC28E1" w:rsidRDefault="00CB4848" w:rsidP="00CB4848">
      <w:pPr>
        <w:pStyle w:val="a3"/>
        <w:numPr>
          <w:ilvl w:val="0"/>
          <w:numId w:val="4"/>
        </w:numPr>
        <w:pBdr>
          <w:top w:val="nil"/>
          <w:left w:val="nil"/>
          <w:bottom w:val="nil"/>
          <w:right w:val="nil"/>
          <w:between w:val="nil"/>
        </w:pBdr>
        <w:tabs>
          <w:tab w:val="left" w:pos="1276"/>
          <w:tab w:val="left" w:pos="1985"/>
        </w:tabs>
        <w:ind w:left="0" w:firstLine="851"/>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draft of the proposed technical solution or options with argumentation of the advantages.</w:t>
      </w:r>
    </w:p>
    <w:p w14:paraId="15570220" w14:textId="77777777" w:rsidR="00CB4848" w:rsidRPr="00EC28E1" w:rsidRDefault="00CB4848" w:rsidP="00CB4848">
      <w:pPr>
        <w:pStyle w:val="a3"/>
        <w:numPr>
          <w:ilvl w:val="0"/>
          <w:numId w:val="5"/>
        </w:numPr>
        <w:pBdr>
          <w:top w:val="nil"/>
          <w:left w:val="nil"/>
          <w:bottom w:val="nil"/>
          <w:right w:val="nil"/>
          <w:between w:val="nil"/>
        </w:pBdr>
        <w:tabs>
          <w:tab w:val="left" w:pos="993"/>
        </w:tabs>
        <w:ind w:left="0" w:firstLine="567"/>
        <w:jc w:val="both"/>
        <w:rPr>
          <w:rFonts w:eastAsia="Times New Roman" w:cs="Times New Roman"/>
          <w:b/>
          <w:color w:val="000000" w:themeColor="text1"/>
          <w:sz w:val="28"/>
          <w:szCs w:val="28"/>
          <w:lang w:val="en-GB"/>
        </w:rPr>
      </w:pPr>
      <w:r w:rsidRPr="00EC28E1">
        <w:rPr>
          <w:rFonts w:eastAsia="Times New Roman" w:cs="Times New Roman"/>
          <w:b/>
          <w:color w:val="000000" w:themeColor="text1"/>
          <w:sz w:val="28"/>
          <w:szCs w:val="28"/>
          <w:lang w:val="en-GB"/>
        </w:rPr>
        <w:t>Conclusions and Recommendations, which will include but not be limited to:</w:t>
      </w:r>
    </w:p>
    <w:p w14:paraId="45F93607" w14:textId="77777777" w:rsidR="00CB4848" w:rsidRPr="00EC28E1" w:rsidRDefault="00CB4848" w:rsidP="00CB4848">
      <w:pPr>
        <w:pStyle w:val="a3"/>
        <w:numPr>
          <w:ilvl w:val="0"/>
          <w:numId w:val="8"/>
        </w:numPr>
        <w:pBdr>
          <w:top w:val="nil"/>
          <w:left w:val="nil"/>
          <w:bottom w:val="nil"/>
          <w:right w:val="nil"/>
          <w:between w:val="nil"/>
        </w:pBdr>
        <w:tabs>
          <w:tab w:val="left" w:pos="1560"/>
        </w:tabs>
        <w:ind w:left="993" w:hanging="426"/>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comparison of recommended technical-economic solutions/options;</w:t>
      </w:r>
    </w:p>
    <w:p w14:paraId="049A916C" w14:textId="77777777" w:rsidR="00CB4848" w:rsidRPr="00EC28E1" w:rsidRDefault="00CB4848" w:rsidP="00CB4848">
      <w:pPr>
        <w:pStyle w:val="a3"/>
        <w:numPr>
          <w:ilvl w:val="0"/>
          <w:numId w:val="8"/>
        </w:numPr>
        <w:pBdr>
          <w:top w:val="nil"/>
          <w:left w:val="nil"/>
          <w:bottom w:val="nil"/>
          <w:right w:val="nil"/>
          <w:between w:val="nil"/>
        </w:pBdr>
        <w:tabs>
          <w:tab w:val="left" w:pos="1560"/>
        </w:tabs>
        <w:ind w:left="993" w:hanging="426"/>
        <w:jc w:val="both"/>
        <w:rPr>
          <w:rFonts w:eastAsia="Times New Roman" w:cs="Times New Roman"/>
          <w:color w:val="000000" w:themeColor="text1"/>
          <w:sz w:val="28"/>
          <w:szCs w:val="28"/>
          <w:lang w:val="it-IT"/>
        </w:rPr>
      </w:pPr>
      <w:r w:rsidRPr="00EC28E1">
        <w:rPr>
          <w:rFonts w:eastAsia="Times New Roman" w:cs="Times New Roman"/>
          <w:color w:val="000000" w:themeColor="text1"/>
          <w:sz w:val="28"/>
          <w:szCs w:val="28"/>
          <w:lang w:val="it-IT"/>
        </w:rPr>
        <w:t>recommended technical-economic solution/option.</w:t>
      </w:r>
    </w:p>
    <w:p w14:paraId="38C99EC5" w14:textId="77777777" w:rsidR="00CB4848" w:rsidRPr="00EC28E1" w:rsidRDefault="00CB4848" w:rsidP="00CB4848">
      <w:pPr>
        <w:pBdr>
          <w:top w:val="nil"/>
          <w:left w:val="nil"/>
          <w:bottom w:val="nil"/>
          <w:right w:val="nil"/>
          <w:between w:val="nil"/>
        </w:pBdr>
        <w:tabs>
          <w:tab w:val="left" w:pos="1418"/>
        </w:tabs>
        <w:ind w:firstLine="709"/>
        <w:jc w:val="both"/>
        <w:rPr>
          <w:rFonts w:eastAsia="Times New Roman" w:cs="Times New Roman"/>
          <w:color w:val="000000" w:themeColor="text1"/>
          <w:sz w:val="28"/>
          <w:szCs w:val="28"/>
        </w:rPr>
      </w:pPr>
      <w:r w:rsidRPr="00EC28E1">
        <w:rPr>
          <w:rFonts w:eastAsia="Times New Roman" w:cs="Times New Roman"/>
          <w:i/>
          <w:color w:val="000000" w:themeColor="text1"/>
          <w:sz w:val="28"/>
          <w:szCs w:val="28"/>
        </w:rPr>
        <w:t>Note: Analysis and information referred to in this section (point 2.3) shall be provided for each technical-economic solution/option proposed.</w:t>
      </w:r>
    </w:p>
    <w:p w14:paraId="29DCD0CC"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Technical Documentation will mainly describe the technical concept of the technical-economic solution/option identified in the Feasibility Study, recommended and accepted by the Republic of Moldova, technical requirements and parameters specifications in terms of minimum and maximum compatibility with national systems taking into account the technical-scientific progress for at least 5 years of operation of N</w:t>
      </w:r>
      <w:r>
        <w:rPr>
          <w:rFonts w:eastAsia="Times New Roman" w:cs="Times New Roman"/>
          <w:color w:val="000000" w:themeColor="text1"/>
          <w:sz w:val="28"/>
          <w:szCs w:val="28"/>
        </w:rPr>
        <w:t>P</w:t>
      </w:r>
      <w:r w:rsidRPr="00EC28E1">
        <w:rPr>
          <w:rFonts w:eastAsia="Times New Roman" w:cs="Times New Roman"/>
          <w:color w:val="000000" w:themeColor="text1"/>
          <w:sz w:val="28"/>
          <w:szCs w:val="28"/>
        </w:rPr>
        <w:t xml:space="preserve">WS “Mold-Alert” from the moment of its implementation. </w:t>
      </w:r>
    </w:p>
    <w:p w14:paraId="1742E4CC" w14:textId="5D8E5874" w:rsidR="00CB4848" w:rsidRPr="00EC28E1" w:rsidRDefault="00636084" w:rsidP="00CB4848">
      <w:pPr>
        <w:pStyle w:val="a3"/>
        <w:numPr>
          <w:ilvl w:val="2"/>
          <w:numId w:val="1"/>
        </w:numPr>
        <w:tabs>
          <w:tab w:val="left" w:pos="1276"/>
        </w:tabs>
        <w:ind w:left="0" w:firstLine="567"/>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The Bidding Document for the Development and implementation of the </w:t>
      </w:r>
      <w:r w:rsidR="00CB4848" w:rsidRPr="00EC28E1">
        <w:rPr>
          <w:rFonts w:eastAsia="Times New Roman" w:cs="Times New Roman"/>
          <w:color w:val="000000" w:themeColor="text1"/>
          <w:sz w:val="28"/>
          <w:szCs w:val="28"/>
        </w:rPr>
        <w:t>N</w:t>
      </w:r>
      <w:r w:rsidR="00CB4848">
        <w:rPr>
          <w:rFonts w:eastAsia="Times New Roman" w:cs="Times New Roman"/>
          <w:color w:val="000000" w:themeColor="text1"/>
          <w:sz w:val="28"/>
          <w:szCs w:val="28"/>
        </w:rPr>
        <w:t>P</w:t>
      </w:r>
      <w:r w:rsidR="00CB4848" w:rsidRPr="00EC28E1">
        <w:rPr>
          <w:rFonts w:eastAsia="Times New Roman" w:cs="Times New Roman"/>
          <w:color w:val="000000" w:themeColor="text1"/>
          <w:sz w:val="28"/>
          <w:szCs w:val="28"/>
        </w:rPr>
        <w:t>WS “Mold-Alert” for the technical solution accepted by the Beneficiary</w:t>
      </w:r>
      <w:r>
        <w:rPr>
          <w:rFonts w:eastAsia="Times New Roman" w:cs="Times New Roman"/>
          <w:color w:val="000000" w:themeColor="text1"/>
          <w:sz w:val="28"/>
          <w:szCs w:val="28"/>
        </w:rPr>
        <w:t xml:space="preserve">. </w:t>
      </w:r>
      <w:r w:rsidR="00CB4848" w:rsidRPr="00EC28E1">
        <w:rPr>
          <w:rFonts w:eastAsia="Times New Roman" w:cs="Times New Roman"/>
          <w:color w:val="000000" w:themeColor="text1"/>
          <w:sz w:val="28"/>
          <w:szCs w:val="28"/>
        </w:rPr>
        <w:t xml:space="preserve"> </w:t>
      </w:r>
      <w:r>
        <w:rPr>
          <w:rFonts w:eastAsia="Times New Roman" w:cs="Times New Roman"/>
          <w:color w:val="000000" w:themeColor="text1"/>
          <w:sz w:val="28"/>
          <w:szCs w:val="28"/>
        </w:rPr>
        <w:t>The Bidding Document will be developed using the latest applicable version of the Standard Procurement Document of the World Bank</w:t>
      </w:r>
      <w:r w:rsidR="00CB4848" w:rsidRPr="00EC28E1">
        <w:rPr>
          <w:rFonts w:eastAsia="Times New Roman" w:cs="Times New Roman"/>
          <w:color w:val="000000" w:themeColor="text1"/>
          <w:sz w:val="28"/>
          <w:szCs w:val="28"/>
        </w:rPr>
        <w:t>.</w:t>
      </w:r>
    </w:p>
    <w:p w14:paraId="7C5032E8" w14:textId="77777777" w:rsidR="00CB4848" w:rsidRPr="00EC28E1" w:rsidRDefault="00CB4848" w:rsidP="00CB4848">
      <w:pPr>
        <w:pStyle w:val="a3"/>
        <w:numPr>
          <w:ilvl w:val="0"/>
          <w:numId w:val="1"/>
        </w:numPr>
        <w:tabs>
          <w:tab w:val="left" w:pos="284"/>
        </w:tabs>
        <w:spacing w:before="120"/>
        <w:ind w:left="0" w:firstLine="0"/>
        <w:contextualSpacing w:val="0"/>
        <w:jc w:val="both"/>
        <w:outlineLvl w:val="0"/>
        <w:rPr>
          <w:rFonts w:eastAsia="Times New Roman" w:cs="Times New Roman"/>
          <w:b/>
          <w:bCs/>
          <w:color w:val="000000" w:themeColor="text1"/>
          <w:sz w:val="28"/>
          <w:szCs w:val="28"/>
          <w:lang w:val="en-GB"/>
        </w:rPr>
      </w:pPr>
      <w:bookmarkStart w:id="2" w:name="_Toc165295228"/>
      <w:r w:rsidRPr="00EC28E1">
        <w:rPr>
          <w:rFonts w:eastAsia="Times New Roman" w:cs="Times New Roman"/>
          <w:b/>
          <w:bCs/>
          <w:color w:val="000000" w:themeColor="text1"/>
          <w:sz w:val="28"/>
          <w:szCs w:val="28"/>
          <w:lang w:val="en-GB"/>
        </w:rPr>
        <w:t>Requirements for Feasibility Study</w:t>
      </w:r>
      <w:bookmarkEnd w:id="2"/>
    </w:p>
    <w:p w14:paraId="2BBDF574"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Feasibility studies shall be drawn up based on the following criteria:</w:t>
      </w:r>
    </w:p>
    <w:p w14:paraId="317E30B1"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compliance of the solution with public warning needs, including the level of coverage of the technological solution and the ability to reach as many end recipients as possible (geographical coverage, percentage of population coverage, notification speed, notification areas, ability of mobile devices to receive warning messages, notification of persons with special needs, notification of foreign persons temporarily in the Republic of Moldova (including in international languages), security assurance, simple system operation, reliability and simplicity of the recommended solution architecture, enhanced communication possibilities, automation of some processes);</w:t>
      </w:r>
    </w:p>
    <w:p w14:paraId="511ED010"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lastRenderedPageBreak/>
        <w:t>definition of eligibility criteria;</w:t>
      </w:r>
    </w:p>
    <w:p w14:paraId="2620E6E2"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evaluation of possible solutions;</w:t>
      </w:r>
    </w:p>
    <w:p w14:paraId="5746233F"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submission of an evaluation summary.</w:t>
      </w:r>
    </w:p>
    <w:p w14:paraId="38C31C1A" w14:textId="77777777" w:rsidR="00CB4848" w:rsidRPr="00EC28E1" w:rsidRDefault="00CB4848" w:rsidP="00CB4848">
      <w:pPr>
        <w:numPr>
          <w:ilvl w:val="1"/>
          <w:numId w:val="1"/>
        </w:numPr>
        <w:pBdr>
          <w:top w:val="nil"/>
          <w:left w:val="nil"/>
          <w:bottom w:val="nil"/>
          <w:right w:val="nil"/>
          <w:between w:val="nil"/>
        </w:pBdr>
        <w:tabs>
          <w:tab w:val="left" w:pos="993"/>
          <w:tab w:val="left" w:pos="1134"/>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Compliance of the solution with national and EU legislation:</w:t>
      </w:r>
    </w:p>
    <w:p w14:paraId="3019E0B9"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identification of affected normative documents and possible normative gaps;</w:t>
      </w:r>
    </w:p>
    <w:p w14:paraId="6BCED36D"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assessment of compliance with the requirements of relevant normative documents;</w:t>
      </w:r>
    </w:p>
    <w:p w14:paraId="7891DB9B"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submission of an assessment summary.</w:t>
      </w:r>
    </w:p>
    <w:p w14:paraId="0EA2AF70"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Costs of the solution and terms of implementation:</w:t>
      </w:r>
    </w:p>
    <w:p w14:paraId="12312558"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collection of relevant information from providers of publicly available electronic communications networks and services;</w:t>
      </w:r>
    </w:p>
    <w:p w14:paraId="027269A7"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collection of information from manufacturers and providers of public warning systems;</w:t>
      </w:r>
    </w:p>
    <w:p w14:paraId="7A4BE67C"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collection of other relevant information and data;</w:t>
      </w:r>
    </w:p>
    <w:p w14:paraId="4CD61371"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At least 2 (different) technological solutions successfully implemented in EU countries, which are eligible for the Republic of Moldova, will be presented in the study (description of the solution, technological description, warning dissemination process, experience in the implementation process, shortcomings, financing and costs, etc.).</w:t>
      </w:r>
    </w:p>
    <w:p w14:paraId="4BB4B24A"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 comparative overview of eligible solutions for the Republic of Moldova (according to warning capabilities) will be included in the Feasibility Study).</w:t>
      </w:r>
    </w:p>
    <w:p w14:paraId="6E288B5C"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An assessment of the strengths and weaknesses of the optimal solution and alternative solutions will be presented in the study.</w:t>
      </w:r>
    </w:p>
    <w:p w14:paraId="24773765"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The proposed technological solution for the public warning system in the Republic of Moldova must comply with the provisions of the European Electronic Communications Code (Article 110, Directive (EU) 2018/1972), the recommendations of the </w:t>
      </w:r>
      <w:proofErr w:type="spellStart"/>
      <w:r w:rsidRPr="00EC28E1">
        <w:rPr>
          <w:rFonts w:eastAsia="Times New Roman" w:cs="Times New Roman"/>
          <w:color w:val="000000" w:themeColor="text1"/>
          <w:sz w:val="28"/>
          <w:szCs w:val="28"/>
          <w:lang w:val="en-GB"/>
        </w:rPr>
        <w:t>BoR</w:t>
      </w:r>
      <w:proofErr w:type="spellEnd"/>
      <w:r w:rsidRPr="00EC28E1">
        <w:rPr>
          <w:rFonts w:eastAsia="Times New Roman" w:cs="Times New Roman"/>
          <w:color w:val="000000" w:themeColor="text1"/>
          <w:sz w:val="28"/>
          <w:szCs w:val="28"/>
          <w:lang w:val="en-GB"/>
        </w:rPr>
        <w:t xml:space="preserve"> (19)255 (BEREC (Body of European Regulators for Electronic Communications) guidelines on how to assess the effectiveness of public warning systems transmitted by different means) and the 3GPP, ETSI/EU-Alert standards.</w:t>
      </w:r>
    </w:p>
    <w:p w14:paraId="0C94D19F"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proposed technological solution for the public warning system in the Republic of Moldova will be a modular one, which will allow phased implementation without affecting the functionality of the system.</w:t>
      </w:r>
    </w:p>
    <w:p w14:paraId="443A6F84"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core module of the proposed technological solution will be the main element of the system, around which the other modules (electronic sirens, radio, TV, internet, applications, etc.) will be connected.</w:t>
      </w:r>
    </w:p>
    <w:p w14:paraId="10D501FC"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Feasibility Study will recommend the optimal techno-economic solution for the redundancy of the warning system for implementation in the Republic of Moldova.</w:t>
      </w:r>
    </w:p>
    <w:p w14:paraId="56B9CAA8"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Technical-economic solution will provide interfaces for interconnection with other information systems (Application Programming Interface).</w:t>
      </w:r>
    </w:p>
    <w:p w14:paraId="30A06C05"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Technological solution will enable the use of artificial intelligence.</w:t>
      </w:r>
    </w:p>
    <w:p w14:paraId="155CBF41"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 xml:space="preserve">Based on research, feedback and data collected in the country, the Feasibility Study will provide an overview and overall assessment of the use of different types of information and communication technologies (ICTs) to reach the population at risk, with a focus on mobile communication networks as well as other technologies and mass information sources. Therefore, the study will include a brief description of the country’s hazard risk profile and a baseline assessment of ICT infrastructure to measure connectivity levels. </w:t>
      </w:r>
    </w:p>
    <w:p w14:paraId="2221E660"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 xml:space="preserve">Analysis of the necessary steps to be taken for the implementation of the warning system via land mobile communication services, including feasibility, advantages and disadvantages of </w:t>
      </w:r>
      <w:proofErr w:type="spellStart"/>
      <w:r w:rsidRPr="00EC28E1">
        <w:rPr>
          <w:rFonts w:eastAsia="Times New Roman" w:cs="Times New Roman"/>
          <w:color w:val="000000" w:themeColor="text1"/>
          <w:sz w:val="28"/>
          <w:szCs w:val="28"/>
        </w:rPr>
        <w:t>centralised</w:t>
      </w:r>
      <w:proofErr w:type="spellEnd"/>
      <w:r w:rsidRPr="00EC28E1">
        <w:rPr>
          <w:rFonts w:eastAsia="Times New Roman" w:cs="Times New Roman"/>
          <w:color w:val="000000" w:themeColor="text1"/>
          <w:sz w:val="28"/>
          <w:szCs w:val="28"/>
        </w:rPr>
        <w:t xml:space="preserve"> versus </w:t>
      </w:r>
      <w:proofErr w:type="spellStart"/>
      <w:r w:rsidRPr="00EC28E1">
        <w:rPr>
          <w:rFonts w:eastAsia="Times New Roman" w:cs="Times New Roman"/>
          <w:color w:val="000000" w:themeColor="text1"/>
          <w:sz w:val="28"/>
          <w:szCs w:val="28"/>
        </w:rPr>
        <w:t>decentralised</w:t>
      </w:r>
      <w:proofErr w:type="spellEnd"/>
      <w:r w:rsidRPr="00EC28E1">
        <w:rPr>
          <w:rFonts w:eastAsia="Times New Roman" w:cs="Times New Roman"/>
          <w:color w:val="000000" w:themeColor="text1"/>
          <w:sz w:val="28"/>
          <w:szCs w:val="28"/>
        </w:rPr>
        <w:t xml:space="preserve"> typologies.</w:t>
      </w:r>
    </w:p>
    <w:p w14:paraId="098FA87A"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Proposal to use a Common Alerting Protocol applied to all warning delivery media (mobile, broadcast, TV, electronic sirens, etc.).</w:t>
      </w:r>
    </w:p>
    <w:p w14:paraId="673EFB41"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rPr>
        <w:t xml:space="preserve">Definition of established channels/media for the transmission of warnings according to their type (missing children alert, natural emergency alert, security and public order alert, etc.). </w:t>
      </w:r>
      <w:r w:rsidRPr="00EC28E1">
        <w:rPr>
          <w:rFonts w:eastAsia="Times New Roman" w:cs="Times New Roman"/>
          <w:color w:val="000000" w:themeColor="text1"/>
          <w:sz w:val="28"/>
          <w:szCs w:val="28"/>
          <w:lang w:val="it-IT"/>
        </w:rPr>
        <w:t>Follow 3GPP and ETSI/EU-Alert recommendations</w:t>
      </w:r>
      <w:r w:rsidRPr="00EC28E1">
        <w:rPr>
          <w:rFonts w:eastAsia="Times New Roman" w:cs="Times New Roman"/>
          <w:color w:val="000000" w:themeColor="text1"/>
          <w:sz w:val="28"/>
          <w:szCs w:val="28"/>
          <w:lang w:val="en-GB"/>
        </w:rPr>
        <w:t>.</w:t>
      </w:r>
    </w:p>
    <w:p w14:paraId="7639C985"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Recommendations on how to include other means of disseminating warning messages, such as radio and television, social media, electronic sirens, etc.</w:t>
      </w:r>
    </w:p>
    <w:p w14:paraId="21F4FC83"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Detailed description of the types of warning messages that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will generate and the entity responsible for their content for each type.</w:t>
      </w:r>
    </w:p>
    <w:p w14:paraId="4E87F78B"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proposed and recommended technical-economic solutions must ensure the functionality of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 xml:space="preserve">WS “Mold-Alert” in the context of the organization chart of the central public authorities and their subordinate authorities that manage risks and hazards in case of emergency and exceptional situations, based on the specific </w:t>
      </w:r>
      <w:proofErr w:type="gramStart"/>
      <w:r w:rsidRPr="00EC28E1">
        <w:rPr>
          <w:rFonts w:eastAsia="Times New Roman" w:cs="Times New Roman"/>
          <w:color w:val="000000" w:themeColor="text1"/>
          <w:sz w:val="28"/>
          <w:szCs w:val="28"/>
          <w:lang w:val="en-GB"/>
        </w:rPr>
        <w:t>risks</w:t>
      </w:r>
      <w:proofErr w:type="gramEnd"/>
      <w:r w:rsidRPr="00EC28E1">
        <w:rPr>
          <w:rFonts w:eastAsia="Times New Roman" w:cs="Times New Roman"/>
          <w:color w:val="000000" w:themeColor="text1"/>
          <w:sz w:val="28"/>
          <w:szCs w:val="28"/>
          <w:lang w:val="en-GB"/>
        </w:rPr>
        <w:t xml:space="preserve"> characteristic of the country. </w:t>
      </w:r>
    </w:p>
    <w:p w14:paraId="5130740D"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Therewith, the documentation will propose an efficient solution for the notification of the dangers of emergency and exceptional situations (either as witnesses or managers of the potential risk) by the population, economic agents, and local public administration authorities. To this end, solutions will be proposed for integrating information into the operationalisation process, which will ensure an optimal selection procedure.</w:t>
      </w:r>
    </w:p>
    <w:p w14:paraId="4AE0E76C"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activity must be flexible and adaptable so that its functionalities (observation, processing, planning, notification, alerting) are grouped around a specific workflow consisting of the following components: monitoring, decision support and information management.</w:t>
      </w:r>
    </w:p>
    <w:p w14:paraId="311AE5C3"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proposed solutions will ensure the possibility of interconnection with automated systems for monitoring risks and their evolution in real-time so that the dissemination of pre-established warning notifications is carried out on a priority basis to the areas/people likely to be affected.</w:t>
      </w:r>
    </w:p>
    <w:p w14:paraId="6FED4746" w14:textId="77777777" w:rsidR="00CB4848" w:rsidRPr="00EC28E1" w:rsidRDefault="00CB4848" w:rsidP="00CB4848">
      <w:pPr>
        <w:numPr>
          <w:ilvl w:val="1"/>
          <w:numId w:val="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Feasibility Study will describe in detail:</w:t>
      </w:r>
    </w:p>
    <w:p w14:paraId="7CD435AC" w14:textId="77777777" w:rsidR="00CB4848" w:rsidRPr="00EC28E1" w:rsidRDefault="00CB4848" w:rsidP="00CB4848">
      <w:pPr>
        <w:pStyle w:val="a3"/>
        <w:numPr>
          <w:ilvl w:val="2"/>
          <w:numId w:val="1"/>
        </w:numPr>
        <w:tabs>
          <w:tab w:val="left" w:pos="709"/>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types of risk generated by exceptional situations of a technogenic, natural, biological-social, public order and military nature;</w:t>
      </w:r>
    </w:p>
    <w:p w14:paraId="741C0164" w14:textId="77777777" w:rsidR="00CB4848" w:rsidRPr="00EC28E1" w:rsidRDefault="00CB4848" w:rsidP="00CB4848">
      <w:pPr>
        <w:pStyle w:val="a3"/>
        <w:numPr>
          <w:ilvl w:val="2"/>
          <w:numId w:val="1"/>
        </w:numPr>
        <w:tabs>
          <w:tab w:val="left" w:pos="709"/>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information flow process concerning the reception (accumulation) of information by public authorities and institutions monitoring risk types;</w:t>
      </w:r>
    </w:p>
    <w:p w14:paraId="716E478C" w14:textId="77777777" w:rsidR="00CB4848" w:rsidRPr="00EC28E1" w:rsidRDefault="00CB4848" w:rsidP="00CB4848">
      <w:pPr>
        <w:pStyle w:val="a3"/>
        <w:numPr>
          <w:ilvl w:val="2"/>
          <w:numId w:val="1"/>
        </w:numPr>
        <w:tabs>
          <w:tab w:val="left" w:pos="709"/>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warning process, both narrative and schematic, which will be supported by the proposed technological solution under national requirements and standards;</w:t>
      </w:r>
    </w:p>
    <w:p w14:paraId="2EBBA731"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Feasibility Study will identify the institutions responsible for creating and disseminating the warning message depending on the type of risk and will define their primary and/or secondary roles and responsibilities.</w:t>
      </w:r>
    </w:p>
    <w:p w14:paraId="7009DAD7"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Feasibility Study will include cost estimates for the implementation of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(direct, indirect, maintenance and other necessary costs incurred by other entities for 5 years).</w:t>
      </w:r>
    </w:p>
    <w:p w14:paraId="451D545B"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Feasibility Study will contain the well-defined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implementation plan and actual terms of implementation.</w:t>
      </w:r>
    </w:p>
    <w:p w14:paraId="1139F06B"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It contains scenarios for the final tests required to put the N</w:t>
      </w:r>
      <w:r>
        <w:rPr>
          <w:rFonts w:eastAsia="Times New Roman" w:cs="Times New Roman"/>
          <w:color w:val="000000" w:themeColor="text1"/>
          <w:sz w:val="28"/>
          <w:szCs w:val="28"/>
        </w:rPr>
        <w:t>P</w:t>
      </w:r>
      <w:r w:rsidRPr="00EC28E1">
        <w:rPr>
          <w:rFonts w:eastAsia="Times New Roman" w:cs="Times New Roman"/>
          <w:color w:val="000000" w:themeColor="text1"/>
          <w:sz w:val="28"/>
          <w:szCs w:val="28"/>
        </w:rPr>
        <w:t>WS “Mold-Alert” into operation, as well as scenarios for periodic testing.</w:t>
      </w:r>
    </w:p>
    <w:p w14:paraId="76C8E5AD"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Feasibility Study will include the analysis of the national regulatory framework with proposals for modification and/or addition for the implementation of the warning system identified and recommended for implementation in the Republic of Moldova.</w:t>
      </w:r>
    </w:p>
    <w:p w14:paraId="14200F84" w14:textId="77777777" w:rsidR="00CB4848" w:rsidRPr="00EC28E1" w:rsidRDefault="00CB4848" w:rsidP="00CB4848">
      <w:pPr>
        <w:pStyle w:val="a3"/>
        <w:numPr>
          <w:ilvl w:val="0"/>
          <w:numId w:val="1"/>
        </w:numPr>
        <w:spacing w:before="120"/>
        <w:contextualSpacing w:val="0"/>
        <w:jc w:val="both"/>
        <w:outlineLvl w:val="0"/>
        <w:rPr>
          <w:rFonts w:eastAsia="Times New Roman" w:cs="Times New Roman"/>
          <w:b/>
          <w:bCs/>
          <w:color w:val="000000" w:themeColor="text1"/>
          <w:sz w:val="28"/>
          <w:szCs w:val="28"/>
          <w:lang w:val="en-GB"/>
        </w:rPr>
      </w:pPr>
      <w:bookmarkStart w:id="3" w:name="_Toc165295229"/>
      <w:r w:rsidRPr="00EC28E1">
        <w:rPr>
          <w:rFonts w:eastAsia="Times New Roman" w:cs="Times New Roman"/>
          <w:b/>
          <w:bCs/>
          <w:color w:val="000000" w:themeColor="text1"/>
          <w:sz w:val="28"/>
          <w:szCs w:val="28"/>
          <w:lang w:val="en-GB"/>
        </w:rPr>
        <w:t>Requirements for Technical Documentation</w:t>
      </w:r>
      <w:bookmarkEnd w:id="3"/>
    </w:p>
    <w:p w14:paraId="2D00038F"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covers the optimal technological solution identified and proposed in the Feasibility Study.</w:t>
      </w:r>
    </w:p>
    <w:p w14:paraId="74955F29"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shall include:</w:t>
      </w:r>
    </w:p>
    <w:p w14:paraId="21709C69"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requirements for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according to the optimal technological solution identified in the Feasibility Study;</w:t>
      </w:r>
    </w:p>
    <w:p w14:paraId="782D2D00"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concept for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developed under the normative acts in force in the Republic of Moldova.</w:t>
      </w:r>
    </w:p>
    <w:p w14:paraId="7824566D"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will contain the list of standards that will apply to the proposed technological solution, ensuring the functionality of all modules regardless of the implementation stage.</w:t>
      </w:r>
    </w:p>
    <w:p w14:paraId="25149680"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will describe the system architecture, users, hardware and software components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user interface, data flows, data processing, storage and archiving, communication networks, functional and non-functional requirements for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reports generated by the system, security and redundancy aspects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security and compliance, performance, scalability and accessibility.</w:t>
      </w:r>
    </w:p>
    <w:p w14:paraId="21DE6C91"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Adding additional functions will not affect the functionality of the system.</w:t>
      </w:r>
    </w:p>
    <w:p w14:paraId="6CF7B5C3"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Technical requirements will be structured according to the following criteria: number, name, description and priority (mandatory, optional, for the future, informative).</w:t>
      </w:r>
    </w:p>
    <w:p w14:paraId="7604F7CB"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Technical documentation prepared is compliant, detailed and sufficient for the successful implementation of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in the Republic of Moldova.</w:t>
      </w:r>
    </w:p>
    <w:p w14:paraId="37A30DA0" w14:textId="77777777" w:rsidR="00CB4848" w:rsidRPr="00EC28E1" w:rsidRDefault="00CB4848" w:rsidP="00CB4848">
      <w:pPr>
        <w:pStyle w:val="a3"/>
        <w:numPr>
          <w:ilvl w:val="0"/>
          <w:numId w:val="1"/>
        </w:numPr>
        <w:tabs>
          <w:tab w:val="left" w:pos="284"/>
        </w:tabs>
        <w:spacing w:before="120"/>
        <w:ind w:left="0" w:firstLine="0"/>
        <w:contextualSpacing w:val="0"/>
        <w:jc w:val="both"/>
        <w:outlineLvl w:val="0"/>
        <w:rPr>
          <w:rFonts w:eastAsia="Times New Roman" w:cs="Times New Roman"/>
          <w:b/>
          <w:bCs/>
          <w:color w:val="000000" w:themeColor="text1"/>
          <w:sz w:val="28"/>
          <w:szCs w:val="28"/>
          <w:lang w:val="en-GB"/>
        </w:rPr>
      </w:pPr>
      <w:bookmarkStart w:id="4" w:name="_Toc165295230"/>
      <w:r w:rsidRPr="00EC28E1">
        <w:rPr>
          <w:rFonts w:eastAsia="Times New Roman" w:cs="Times New Roman"/>
          <w:b/>
          <w:bCs/>
          <w:color w:val="000000" w:themeColor="text1"/>
          <w:sz w:val="28"/>
          <w:szCs w:val="28"/>
          <w:lang w:val="en-GB"/>
        </w:rPr>
        <w:t xml:space="preserve">Requirements for Tender Documentation for procurement of the National </w:t>
      </w:r>
      <w:r>
        <w:rPr>
          <w:rFonts w:eastAsia="Times New Roman" w:cs="Times New Roman"/>
          <w:b/>
          <w:bCs/>
          <w:color w:val="000000" w:themeColor="text1"/>
          <w:sz w:val="28"/>
          <w:szCs w:val="28"/>
          <w:lang w:val="en-GB"/>
        </w:rPr>
        <w:t>Public</w:t>
      </w:r>
      <w:r w:rsidRPr="00EC28E1">
        <w:rPr>
          <w:rFonts w:eastAsia="Times New Roman" w:cs="Times New Roman"/>
          <w:b/>
          <w:bCs/>
          <w:color w:val="000000" w:themeColor="text1"/>
          <w:sz w:val="28"/>
          <w:szCs w:val="28"/>
          <w:lang w:val="en-GB"/>
        </w:rPr>
        <w:t xml:space="preserve"> Warning System “Mold-Alert”</w:t>
      </w:r>
      <w:bookmarkEnd w:id="4"/>
    </w:p>
    <w:p w14:paraId="054E75BD"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Tender documents are to be prepared for the N</w:t>
      </w:r>
      <w:r>
        <w:rPr>
          <w:rFonts w:eastAsia="Times New Roman" w:cs="Times New Roman"/>
          <w:color w:val="000000" w:themeColor="text1"/>
          <w:sz w:val="28"/>
          <w:szCs w:val="28"/>
          <w:lang w:val="en-GB"/>
        </w:rPr>
        <w:t>P</w:t>
      </w:r>
      <w:r w:rsidRPr="00EC28E1">
        <w:rPr>
          <w:rFonts w:eastAsia="Times New Roman" w:cs="Times New Roman"/>
          <w:color w:val="000000" w:themeColor="text1"/>
          <w:sz w:val="28"/>
          <w:szCs w:val="28"/>
          <w:lang w:val="en-GB"/>
        </w:rPr>
        <w:t>WS “Mold-Alert” purchase specified in point 3, with the acceptance of the Beneficiary.</w:t>
      </w:r>
    </w:p>
    <w:p w14:paraId="2E07997F"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Full tender documentation will be per World Bank requirements.</w:t>
      </w:r>
    </w:p>
    <w:p w14:paraId="74985BB3" w14:textId="77777777" w:rsidR="00CB4848" w:rsidRPr="00EC28E1" w:rsidRDefault="00CB4848" w:rsidP="00CB4848">
      <w:pPr>
        <w:pStyle w:val="a3"/>
        <w:numPr>
          <w:ilvl w:val="0"/>
          <w:numId w:val="1"/>
        </w:numPr>
        <w:tabs>
          <w:tab w:val="left" w:pos="284"/>
        </w:tabs>
        <w:spacing w:before="120"/>
        <w:ind w:left="0" w:firstLine="0"/>
        <w:contextualSpacing w:val="0"/>
        <w:jc w:val="both"/>
        <w:outlineLvl w:val="0"/>
        <w:rPr>
          <w:rFonts w:eastAsia="Times New Roman" w:cs="Times New Roman"/>
          <w:b/>
          <w:bCs/>
          <w:color w:val="000000" w:themeColor="text1"/>
          <w:sz w:val="28"/>
          <w:szCs w:val="28"/>
          <w:lang w:val="en-GB"/>
        </w:rPr>
      </w:pPr>
      <w:bookmarkStart w:id="5" w:name="_Toc165295231"/>
      <w:r w:rsidRPr="00EC28E1">
        <w:rPr>
          <w:rFonts w:eastAsia="Times New Roman" w:cs="Times New Roman"/>
          <w:b/>
          <w:bCs/>
          <w:color w:val="000000" w:themeColor="text1"/>
          <w:sz w:val="28"/>
          <w:szCs w:val="28"/>
          <w:lang w:val="en-GB"/>
        </w:rPr>
        <w:t>Timetable and deadlines</w:t>
      </w:r>
      <w:bookmarkEnd w:id="5"/>
    </w:p>
    <w:p w14:paraId="1402D592"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Activities relating to the preparation of the Feasibility Study and the documentation referred to in these Specifications will start from the date of signature of the service contract.</w:t>
      </w:r>
    </w:p>
    <w:p w14:paraId="4BC7F91C"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Workshops and consultation sessions are to be held with interested entities/institutions - from the date of registration of the contract until final acceptance.</w:t>
      </w:r>
    </w:p>
    <w:p w14:paraId="51AC946B"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Submission to the Beneficiary of the progress report on the preparation of the Feasibility Study and the documentation referred to in these Specifications.</w:t>
      </w:r>
    </w:p>
    <w:p w14:paraId="64C6A044"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Progress for each stage will be assessed based on the objectives proposed in the work plan drawn up by the Provider and those indicated in these specifications.</w:t>
      </w:r>
    </w:p>
    <w:p w14:paraId="32FF30EA"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Final acceptance and submission to the Beneficiary of the Feasibility Study and the documentation drawn up according to these Specifications - the deadline is 150 calendar days from the date of registration of the contract. </w:t>
      </w:r>
    </w:p>
    <w:p w14:paraId="03043D2E" w14:textId="77777777" w:rsidR="00CB4848" w:rsidRPr="00EC28E1" w:rsidRDefault="00CB4848" w:rsidP="00CB4848">
      <w:pPr>
        <w:numPr>
          <w:ilvl w:val="1"/>
          <w:numId w:val="1"/>
        </w:numPr>
        <w:pBdr>
          <w:top w:val="nil"/>
          <w:left w:val="nil"/>
          <w:bottom w:val="nil"/>
          <w:right w:val="nil"/>
          <w:between w:val="nil"/>
        </w:pBdr>
        <w:tabs>
          <w:tab w:val="left" w:pos="1134"/>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Requirements for the work process.</w:t>
      </w:r>
    </w:p>
    <w:tbl>
      <w:tblPr>
        <w:tblStyle w:val="11"/>
        <w:tblpPr w:leftFromText="180" w:rightFromText="180" w:topFromText="180" w:bottomFromText="180" w:vertAnchor="text" w:tblpX="5"/>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438"/>
        <w:gridCol w:w="709"/>
        <w:gridCol w:w="609"/>
        <w:gridCol w:w="1170"/>
        <w:gridCol w:w="1200"/>
        <w:gridCol w:w="1125"/>
        <w:gridCol w:w="1155"/>
        <w:gridCol w:w="1233"/>
      </w:tblGrid>
      <w:tr w:rsidR="00CB4848" w:rsidRPr="00EC28E1" w14:paraId="39B51B09" w14:textId="77777777" w:rsidTr="005A0896">
        <w:trPr>
          <w:trHeight w:val="296"/>
        </w:trPr>
        <w:tc>
          <w:tcPr>
            <w:tcW w:w="534" w:type="dxa"/>
            <w:vMerge w:val="restart"/>
          </w:tcPr>
          <w:p w14:paraId="54ABBBB7" w14:textId="77777777" w:rsidR="00CB4848" w:rsidRPr="00EC28E1" w:rsidRDefault="00CB4848" w:rsidP="005A0896">
            <w:pPr>
              <w:spacing w:after="120"/>
              <w:ind w:left="-14" w:right="-46"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No.</w:t>
            </w:r>
          </w:p>
        </w:tc>
        <w:tc>
          <w:tcPr>
            <w:tcW w:w="2438" w:type="dxa"/>
            <w:vMerge w:val="restart"/>
          </w:tcPr>
          <w:p w14:paraId="5B4D498D" w14:textId="77777777" w:rsidR="00CB4848" w:rsidRPr="00EC28E1" w:rsidRDefault="00CB4848" w:rsidP="005A0896">
            <w:pPr>
              <w:spacing w:after="120"/>
              <w:ind w:left="0" w:firstLine="0"/>
              <w:jc w:val="both"/>
              <w:rPr>
                <w:rFonts w:eastAsia="Times New Roman" w:cs="Times New Roman"/>
                <w:b/>
                <w:color w:val="000000" w:themeColor="text1"/>
                <w:highlight w:val="none"/>
                <w:lang w:val="en-GB"/>
              </w:rPr>
            </w:pPr>
            <w:r w:rsidRPr="00EC28E1">
              <w:rPr>
                <w:rFonts w:eastAsia="Times New Roman" w:cs="Times New Roman"/>
                <w:b/>
                <w:color w:val="000000" w:themeColor="text1"/>
                <w:lang w:val="en-GB"/>
              </w:rPr>
              <w:t>Document name</w:t>
            </w:r>
            <w:r w:rsidRPr="00EC28E1">
              <w:rPr>
                <w:rFonts w:eastAsia="Times New Roman" w:cs="Times New Roman"/>
                <w:b/>
                <w:color w:val="000000" w:themeColor="text1"/>
                <w:highlight w:val="none"/>
                <w:lang w:val="en-GB"/>
              </w:rPr>
              <w:t xml:space="preserve"> /</w:t>
            </w:r>
          </w:p>
        </w:tc>
        <w:tc>
          <w:tcPr>
            <w:tcW w:w="7201" w:type="dxa"/>
            <w:gridSpan w:val="7"/>
            <w:tcBorders>
              <w:bottom w:val="single" w:sz="4" w:space="0" w:color="auto"/>
            </w:tcBorders>
            <w:vAlign w:val="center"/>
          </w:tcPr>
          <w:p w14:paraId="3F0B908C" w14:textId="77777777" w:rsidR="00CB4848" w:rsidRPr="00EC28E1" w:rsidRDefault="00CB4848" w:rsidP="005A0896">
            <w:pPr>
              <w:spacing w:after="120"/>
              <w:ind w:left="0" w:firstLine="0"/>
              <w:jc w:val="center"/>
              <w:rPr>
                <w:rFonts w:eastAsia="Times New Roman" w:cs="Times New Roman"/>
                <w:b/>
                <w:color w:val="000000" w:themeColor="text1"/>
                <w:highlight w:val="none"/>
              </w:rPr>
            </w:pPr>
            <w:r w:rsidRPr="00EC28E1">
              <w:rPr>
                <w:rFonts w:eastAsia="Times New Roman" w:cs="Times New Roman"/>
                <w:b/>
                <w:color w:val="000000" w:themeColor="text1"/>
              </w:rPr>
              <w:t>Number of calendar days/% completion of action</w:t>
            </w:r>
          </w:p>
        </w:tc>
      </w:tr>
      <w:tr w:rsidR="00CB4848" w:rsidRPr="00EC28E1" w14:paraId="0F9AC4A6" w14:textId="77777777" w:rsidTr="005A0896">
        <w:trPr>
          <w:trHeight w:val="638"/>
        </w:trPr>
        <w:tc>
          <w:tcPr>
            <w:tcW w:w="534" w:type="dxa"/>
            <w:vMerge/>
          </w:tcPr>
          <w:p w14:paraId="73DAE961" w14:textId="77777777" w:rsidR="00CB4848" w:rsidRPr="00EC28E1" w:rsidRDefault="00CB4848" w:rsidP="005A0896">
            <w:pPr>
              <w:spacing w:after="120"/>
              <w:ind w:left="-14" w:right="-46" w:firstLine="0"/>
              <w:jc w:val="center"/>
              <w:rPr>
                <w:rFonts w:eastAsia="Times New Roman" w:cs="Times New Roman"/>
                <w:b/>
                <w:color w:val="000000" w:themeColor="text1"/>
                <w:highlight w:val="none"/>
              </w:rPr>
            </w:pPr>
          </w:p>
        </w:tc>
        <w:tc>
          <w:tcPr>
            <w:tcW w:w="2438" w:type="dxa"/>
            <w:vMerge/>
          </w:tcPr>
          <w:p w14:paraId="30382886" w14:textId="77777777" w:rsidR="00CB4848" w:rsidRPr="00EC28E1" w:rsidRDefault="00CB4848" w:rsidP="005A0896">
            <w:pPr>
              <w:spacing w:after="120"/>
              <w:ind w:left="0" w:firstLine="0"/>
              <w:jc w:val="both"/>
              <w:rPr>
                <w:rFonts w:eastAsia="Times New Roman" w:cs="Times New Roman"/>
                <w:b/>
                <w:color w:val="000000" w:themeColor="text1"/>
                <w:highlight w:val="none"/>
              </w:rPr>
            </w:pPr>
          </w:p>
        </w:tc>
        <w:tc>
          <w:tcPr>
            <w:tcW w:w="709" w:type="dxa"/>
            <w:tcBorders>
              <w:top w:val="single" w:sz="4" w:space="0" w:color="auto"/>
            </w:tcBorders>
            <w:vAlign w:val="center"/>
          </w:tcPr>
          <w:p w14:paraId="757760F0"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0-10</w:t>
            </w:r>
          </w:p>
        </w:tc>
        <w:tc>
          <w:tcPr>
            <w:tcW w:w="609" w:type="dxa"/>
            <w:tcBorders>
              <w:top w:val="single" w:sz="4" w:space="0" w:color="auto"/>
            </w:tcBorders>
            <w:vAlign w:val="center"/>
          </w:tcPr>
          <w:p w14:paraId="7FCEC33B"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20</w:t>
            </w:r>
          </w:p>
        </w:tc>
        <w:tc>
          <w:tcPr>
            <w:tcW w:w="1170" w:type="dxa"/>
            <w:tcBorders>
              <w:top w:val="single" w:sz="4" w:space="0" w:color="auto"/>
            </w:tcBorders>
            <w:vAlign w:val="center"/>
          </w:tcPr>
          <w:p w14:paraId="3A24ABF0"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50</w:t>
            </w:r>
          </w:p>
        </w:tc>
        <w:tc>
          <w:tcPr>
            <w:tcW w:w="1200" w:type="dxa"/>
            <w:tcBorders>
              <w:top w:val="single" w:sz="4" w:space="0" w:color="auto"/>
            </w:tcBorders>
            <w:vAlign w:val="center"/>
          </w:tcPr>
          <w:p w14:paraId="2BE4F99E"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75</w:t>
            </w:r>
          </w:p>
        </w:tc>
        <w:tc>
          <w:tcPr>
            <w:tcW w:w="1125" w:type="dxa"/>
            <w:tcBorders>
              <w:top w:val="single" w:sz="4" w:space="0" w:color="auto"/>
            </w:tcBorders>
            <w:vAlign w:val="center"/>
          </w:tcPr>
          <w:p w14:paraId="0A48FDAA"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100</w:t>
            </w:r>
          </w:p>
        </w:tc>
        <w:tc>
          <w:tcPr>
            <w:tcW w:w="1155" w:type="dxa"/>
            <w:tcBorders>
              <w:top w:val="single" w:sz="4" w:space="0" w:color="auto"/>
            </w:tcBorders>
            <w:vAlign w:val="center"/>
          </w:tcPr>
          <w:p w14:paraId="2D381F60"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125</w:t>
            </w:r>
          </w:p>
        </w:tc>
        <w:tc>
          <w:tcPr>
            <w:tcW w:w="1233" w:type="dxa"/>
            <w:tcBorders>
              <w:top w:val="single" w:sz="4" w:space="0" w:color="auto"/>
            </w:tcBorders>
            <w:vAlign w:val="center"/>
          </w:tcPr>
          <w:p w14:paraId="5D187DB1" w14:textId="77777777" w:rsidR="00CB4848" w:rsidRPr="00EC28E1" w:rsidRDefault="00CB4848" w:rsidP="005A0896">
            <w:pPr>
              <w:spacing w:after="120"/>
              <w:ind w:left="0" w:firstLine="0"/>
              <w:jc w:val="center"/>
              <w:rPr>
                <w:rFonts w:eastAsia="Times New Roman" w:cs="Times New Roman"/>
                <w:b/>
                <w:color w:val="000000" w:themeColor="text1"/>
                <w:highlight w:val="none"/>
                <w:lang w:val="en-GB"/>
              </w:rPr>
            </w:pPr>
            <w:r w:rsidRPr="00EC28E1">
              <w:rPr>
                <w:rFonts w:eastAsia="Times New Roman" w:cs="Times New Roman"/>
                <w:b/>
                <w:color w:val="000000" w:themeColor="text1"/>
                <w:highlight w:val="none"/>
                <w:lang w:val="en-GB"/>
              </w:rPr>
              <w:t>150</w:t>
            </w:r>
          </w:p>
        </w:tc>
      </w:tr>
      <w:tr w:rsidR="00CB4848" w:rsidRPr="00EC28E1" w14:paraId="29641A63" w14:textId="77777777" w:rsidTr="005A0896">
        <w:trPr>
          <w:trHeight w:val="381"/>
        </w:trPr>
        <w:tc>
          <w:tcPr>
            <w:tcW w:w="534" w:type="dxa"/>
            <w:vAlign w:val="center"/>
          </w:tcPr>
          <w:p w14:paraId="3F76C383"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1.</w:t>
            </w:r>
          </w:p>
        </w:tc>
        <w:tc>
          <w:tcPr>
            <w:tcW w:w="2438" w:type="dxa"/>
            <w:vAlign w:val="center"/>
          </w:tcPr>
          <w:p w14:paraId="4A373CB3"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lang w:val="en-GB"/>
              </w:rPr>
              <w:t>Feasibility Study</w:t>
            </w:r>
          </w:p>
        </w:tc>
        <w:tc>
          <w:tcPr>
            <w:tcW w:w="709" w:type="dxa"/>
            <w:vAlign w:val="center"/>
          </w:tcPr>
          <w:p w14:paraId="44207D23"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DP</w:t>
            </w:r>
          </w:p>
        </w:tc>
        <w:tc>
          <w:tcPr>
            <w:tcW w:w="609" w:type="dxa"/>
            <w:vAlign w:val="center"/>
          </w:tcPr>
          <w:p w14:paraId="2D6D86F3"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PC</w:t>
            </w:r>
          </w:p>
        </w:tc>
        <w:tc>
          <w:tcPr>
            <w:tcW w:w="1170" w:type="dxa"/>
            <w:vAlign w:val="center"/>
          </w:tcPr>
          <w:p w14:paraId="5DDEECF2"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(25 %)</w:t>
            </w:r>
          </w:p>
        </w:tc>
        <w:tc>
          <w:tcPr>
            <w:tcW w:w="1200" w:type="dxa"/>
            <w:vAlign w:val="center"/>
          </w:tcPr>
          <w:p w14:paraId="4C34E37E"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(50 %)</w:t>
            </w:r>
          </w:p>
        </w:tc>
        <w:tc>
          <w:tcPr>
            <w:tcW w:w="1125" w:type="dxa"/>
            <w:vAlign w:val="center"/>
          </w:tcPr>
          <w:p w14:paraId="240841FA"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(75 %)</w:t>
            </w:r>
          </w:p>
        </w:tc>
        <w:tc>
          <w:tcPr>
            <w:tcW w:w="1155" w:type="dxa"/>
            <w:vAlign w:val="center"/>
          </w:tcPr>
          <w:p w14:paraId="6BD7C831"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(95 %)</w:t>
            </w:r>
          </w:p>
        </w:tc>
        <w:tc>
          <w:tcPr>
            <w:tcW w:w="1233" w:type="dxa"/>
            <w:vAlign w:val="center"/>
          </w:tcPr>
          <w:p w14:paraId="5027FEBB"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 (100 %)</w:t>
            </w:r>
          </w:p>
        </w:tc>
      </w:tr>
      <w:tr w:rsidR="00CB4848" w:rsidRPr="00EC28E1" w14:paraId="7476AE81" w14:textId="77777777" w:rsidTr="005A0896">
        <w:trPr>
          <w:trHeight w:val="370"/>
        </w:trPr>
        <w:tc>
          <w:tcPr>
            <w:tcW w:w="534" w:type="dxa"/>
            <w:vAlign w:val="center"/>
          </w:tcPr>
          <w:p w14:paraId="00550243"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2.</w:t>
            </w:r>
          </w:p>
        </w:tc>
        <w:tc>
          <w:tcPr>
            <w:tcW w:w="2438" w:type="dxa"/>
            <w:vAlign w:val="center"/>
          </w:tcPr>
          <w:p w14:paraId="584483F4"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lang w:val="en-GB"/>
              </w:rPr>
              <w:t>Technical documentation</w:t>
            </w:r>
          </w:p>
        </w:tc>
        <w:tc>
          <w:tcPr>
            <w:tcW w:w="709" w:type="dxa"/>
            <w:vAlign w:val="center"/>
          </w:tcPr>
          <w:p w14:paraId="578709A6"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DP</w:t>
            </w:r>
          </w:p>
        </w:tc>
        <w:tc>
          <w:tcPr>
            <w:tcW w:w="609" w:type="dxa"/>
            <w:vAlign w:val="center"/>
          </w:tcPr>
          <w:p w14:paraId="7289FDA4"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PC</w:t>
            </w:r>
          </w:p>
        </w:tc>
        <w:tc>
          <w:tcPr>
            <w:tcW w:w="1170" w:type="dxa"/>
            <w:vAlign w:val="center"/>
          </w:tcPr>
          <w:p w14:paraId="32D482B3"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(25 %)</w:t>
            </w:r>
          </w:p>
        </w:tc>
        <w:tc>
          <w:tcPr>
            <w:tcW w:w="1200" w:type="dxa"/>
            <w:vAlign w:val="center"/>
          </w:tcPr>
          <w:p w14:paraId="1DA6EC43"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(50 %)</w:t>
            </w:r>
          </w:p>
        </w:tc>
        <w:tc>
          <w:tcPr>
            <w:tcW w:w="1125" w:type="dxa"/>
            <w:vAlign w:val="center"/>
          </w:tcPr>
          <w:p w14:paraId="27C29B03"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(75 %)</w:t>
            </w:r>
          </w:p>
        </w:tc>
        <w:tc>
          <w:tcPr>
            <w:tcW w:w="1155" w:type="dxa"/>
            <w:vAlign w:val="center"/>
          </w:tcPr>
          <w:p w14:paraId="6FC17F4E"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(95 %)</w:t>
            </w:r>
          </w:p>
        </w:tc>
        <w:tc>
          <w:tcPr>
            <w:tcW w:w="1233" w:type="dxa"/>
            <w:vAlign w:val="center"/>
          </w:tcPr>
          <w:p w14:paraId="6D3DBC88"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 (100 %)</w:t>
            </w:r>
          </w:p>
        </w:tc>
      </w:tr>
      <w:tr w:rsidR="00CB4848" w:rsidRPr="00EC28E1" w14:paraId="735C722A" w14:textId="77777777" w:rsidTr="005A0896">
        <w:trPr>
          <w:trHeight w:val="52"/>
        </w:trPr>
        <w:tc>
          <w:tcPr>
            <w:tcW w:w="534" w:type="dxa"/>
            <w:vAlign w:val="center"/>
          </w:tcPr>
          <w:p w14:paraId="081189DF"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3.</w:t>
            </w:r>
          </w:p>
        </w:tc>
        <w:tc>
          <w:tcPr>
            <w:tcW w:w="2438" w:type="dxa"/>
            <w:vAlign w:val="center"/>
          </w:tcPr>
          <w:p w14:paraId="23E2DEFE"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lang w:val="en-GB"/>
              </w:rPr>
              <w:t>Tender documentation</w:t>
            </w:r>
          </w:p>
        </w:tc>
        <w:tc>
          <w:tcPr>
            <w:tcW w:w="709" w:type="dxa"/>
            <w:vAlign w:val="center"/>
          </w:tcPr>
          <w:p w14:paraId="51918BD7"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DP</w:t>
            </w:r>
          </w:p>
        </w:tc>
        <w:tc>
          <w:tcPr>
            <w:tcW w:w="609" w:type="dxa"/>
            <w:vAlign w:val="center"/>
          </w:tcPr>
          <w:p w14:paraId="57AEA194"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PC</w:t>
            </w:r>
          </w:p>
        </w:tc>
        <w:tc>
          <w:tcPr>
            <w:tcW w:w="1170" w:type="dxa"/>
            <w:vAlign w:val="center"/>
          </w:tcPr>
          <w:p w14:paraId="617988E0" w14:textId="77777777" w:rsidR="00CB4848" w:rsidRPr="00EC28E1" w:rsidRDefault="00CB4848" w:rsidP="005A0896">
            <w:pPr>
              <w:spacing w:after="120"/>
              <w:ind w:left="0" w:firstLine="0"/>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C</w:t>
            </w:r>
          </w:p>
        </w:tc>
        <w:tc>
          <w:tcPr>
            <w:tcW w:w="1200" w:type="dxa"/>
            <w:vAlign w:val="center"/>
          </w:tcPr>
          <w:p w14:paraId="0E84D89D"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(25 %)</w:t>
            </w:r>
          </w:p>
        </w:tc>
        <w:tc>
          <w:tcPr>
            <w:tcW w:w="1125" w:type="dxa"/>
            <w:vAlign w:val="center"/>
          </w:tcPr>
          <w:p w14:paraId="1976AD58"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(50 %)</w:t>
            </w:r>
          </w:p>
        </w:tc>
        <w:tc>
          <w:tcPr>
            <w:tcW w:w="1155" w:type="dxa"/>
            <w:vAlign w:val="center"/>
          </w:tcPr>
          <w:p w14:paraId="78E4C62F"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RC (95 %)</w:t>
            </w:r>
          </w:p>
        </w:tc>
        <w:tc>
          <w:tcPr>
            <w:tcW w:w="1233" w:type="dxa"/>
            <w:vAlign w:val="center"/>
          </w:tcPr>
          <w:p w14:paraId="7B93E245" w14:textId="77777777" w:rsidR="00CB4848" w:rsidRPr="00EC28E1" w:rsidRDefault="00CB4848" w:rsidP="005A0896">
            <w:pPr>
              <w:spacing w:after="120"/>
              <w:ind w:left="-149" w:right="-176" w:firstLine="0"/>
              <w:jc w:val="center"/>
              <w:rPr>
                <w:rFonts w:eastAsia="Times New Roman" w:cs="Times New Roman"/>
                <w:color w:val="000000" w:themeColor="text1"/>
                <w:highlight w:val="none"/>
                <w:lang w:val="en-GB"/>
              </w:rPr>
            </w:pPr>
            <w:r w:rsidRPr="00EC28E1">
              <w:rPr>
                <w:rFonts w:eastAsia="Times New Roman" w:cs="Times New Roman"/>
                <w:color w:val="000000" w:themeColor="text1"/>
                <w:highlight w:val="none"/>
                <w:lang w:val="en-GB"/>
              </w:rPr>
              <w:t>R (100 %)</w:t>
            </w:r>
          </w:p>
        </w:tc>
      </w:tr>
    </w:tbl>
    <w:p w14:paraId="3C94B443" w14:textId="77777777" w:rsidR="00CB4848" w:rsidRPr="00EC28E1" w:rsidRDefault="00CB4848" w:rsidP="00CB4848">
      <w:pPr>
        <w:numPr>
          <w:ilvl w:val="0"/>
          <w:numId w:val="10"/>
        </w:numPr>
        <w:pBdr>
          <w:top w:val="nil"/>
          <w:left w:val="nil"/>
          <w:bottom w:val="nil"/>
          <w:right w:val="nil"/>
          <w:between w:val="nil"/>
        </w:pBdr>
        <w:jc w:val="both"/>
        <w:rPr>
          <w:rFonts w:eastAsia="Times New Roman" w:cs="Times New Roman"/>
          <w:color w:val="000000" w:themeColor="text1"/>
          <w:lang w:val="en-GB"/>
        </w:rPr>
      </w:pPr>
      <w:r w:rsidRPr="00EC28E1">
        <w:rPr>
          <w:rFonts w:eastAsia="Times New Roman" w:cs="Times New Roman"/>
          <w:b/>
          <w:bCs/>
          <w:color w:val="000000" w:themeColor="text1"/>
          <w:lang w:val="en-GB"/>
        </w:rPr>
        <w:t>D</w:t>
      </w:r>
      <w:r w:rsidRPr="00EC28E1">
        <w:rPr>
          <w:rFonts w:eastAsia="Times New Roman" w:cs="Times New Roman"/>
          <w:color w:val="000000" w:themeColor="text1"/>
          <w:lang w:val="en-GB"/>
        </w:rPr>
        <w:t xml:space="preserve"> - Discussion on how to elaborate and concretize the technical task with the presentation of the work plan for the reporting periods;</w:t>
      </w:r>
    </w:p>
    <w:p w14:paraId="2FD443AF" w14:textId="77777777" w:rsidR="00CB4848" w:rsidRPr="00EC28E1" w:rsidRDefault="00CB4848" w:rsidP="00CB4848">
      <w:pPr>
        <w:numPr>
          <w:ilvl w:val="0"/>
          <w:numId w:val="10"/>
        </w:numPr>
        <w:pBdr>
          <w:top w:val="nil"/>
          <w:left w:val="nil"/>
          <w:bottom w:val="nil"/>
          <w:right w:val="nil"/>
          <w:between w:val="nil"/>
        </w:pBdr>
        <w:jc w:val="both"/>
        <w:rPr>
          <w:rFonts w:eastAsia="Times New Roman" w:cs="Times New Roman"/>
          <w:color w:val="000000" w:themeColor="text1"/>
          <w:lang w:val="en-GB"/>
        </w:rPr>
      </w:pPr>
      <w:r w:rsidRPr="00EC28E1">
        <w:rPr>
          <w:rFonts w:eastAsia="Times New Roman" w:cs="Times New Roman"/>
          <w:b/>
          <w:bCs/>
          <w:color w:val="000000" w:themeColor="text1"/>
          <w:lang w:val="en-GB"/>
        </w:rPr>
        <w:t>P</w:t>
      </w:r>
      <w:r w:rsidRPr="00EC28E1">
        <w:rPr>
          <w:rFonts w:eastAsia="Times New Roman" w:cs="Times New Roman"/>
          <w:color w:val="000000" w:themeColor="text1"/>
          <w:lang w:val="en-GB"/>
        </w:rPr>
        <w:t xml:space="preserve"> – Activity plan drawn up by the Provider and notified to the Beneficiary;</w:t>
      </w:r>
    </w:p>
    <w:p w14:paraId="7D356624" w14:textId="77777777" w:rsidR="00CB4848" w:rsidRPr="00EC28E1" w:rsidRDefault="00CB4848" w:rsidP="00CB4848">
      <w:pPr>
        <w:numPr>
          <w:ilvl w:val="0"/>
          <w:numId w:val="10"/>
        </w:numPr>
        <w:pBdr>
          <w:top w:val="nil"/>
          <w:left w:val="nil"/>
          <w:bottom w:val="nil"/>
          <w:right w:val="nil"/>
          <w:between w:val="nil"/>
        </w:pBdr>
        <w:jc w:val="both"/>
        <w:rPr>
          <w:rFonts w:eastAsia="Times New Roman" w:cs="Times New Roman"/>
          <w:color w:val="000000" w:themeColor="text1"/>
          <w:lang w:val="it-IT"/>
        </w:rPr>
      </w:pPr>
      <w:r w:rsidRPr="00EC28E1">
        <w:rPr>
          <w:rFonts w:eastAsia="Times New Roman" w:cs="Times New Roman"/>
          <w:b/>
          <w:bCs/>
          <w:color w:val="000000" w:themeColor="text1"/>
          <w:lang w:val="it-IT"/>
        </w:rPr>
        <w:t>C</w:t>
      </w:r>
      <w:r w:rsidRPr="00EC28E1">
        <w:rPr>
          <w:rFonts w:eastAsia="Times New Roman" w:cs="Times New Roman"/>
          <w:color w:val="000000" w:themeColor="text1"/>
          <w:lang w:val="it-IT"/>
        </w:rPr>
        <w:t xml:space="preserve"> – Consultations with stakeholders;</w:t>
      </w:r>
    </w:p>
    <w:p w14:paraId="049C5D8E" w14:textId="77777777" w:rsidR="00CB4848" w:rsidRPr="00EC28E1" w:rsidRDefault="00CB4848" w:rsidP="00CB4848">
      <w:pPr>
        <w:numPr>
          <w:ilvl w:val="0"/>
          <w:numId w:val="10"/>
        </w:numPr>
        <w:pBdr>
          <w:top w:val="nil"/>
          <w:left w:val="nil"/>
          <w:bottom w:val="nil"/>
          <w:right w:val="nil"/>
          <w:between w:val="nil"/>
        </w:pBdr>
        <w:jc w:val="both"/>
        <w:rPr>
          <w:rFonts w:eastAsia="Times New Roman" w:cs="Times New Roman"/>
          <w:color w:val="000000" w:themeColor="text1"/>
        </w:rPr>
      </w:pPr>
      <w:r w:rsidRPr="00EC28E1">
        <w:rPr>
          <w:rFonts w:eastAsia="Times New Roman" w:cs="Times New Roman"/>
          <w:b/>
          <w:bCs/>
          <w:color w:val="000000" w:themeColor="text1"/>
        </w:rPr>
        <w:t>R</w:t>
      </w:r>
      <w:r w:rsidRPr="00EC28E1">
        <w:rPr>
          <w:rFonts w:eastAsia="Times New Roman" w:cs="Times New Roman"/>
          <w:color w:val="000000" w:themeColor="text1"/>
        </w:rPr>
        <w:t xml:space="preserve"> - Report showing the percentage of the documentation executed.</w:t>
      </w:r>
    </w:p>
    <w:p w14:paraId="7DBDC867" w14:textId="77777777" w:rsidR="00CB4848" w:rsidRPr="00EC28E1" w:rsidRDefault="00CB4848" w:rsidP="00CB4848">
      <w:pPr>
        <w:numPr>
          <w:ilvl w:val="1"/>
          <w:numId w:val="1"/>
        </w:numPr>
        <w:pBdr>
          <w:top w:val="nil"/>
          <w:left w:val="nil"/>
          <w:bottom w:val="nil"/>
          <w:right w:val="nil"/>
          <w:between w:val="nil"/>
        </w:pBdr>
        <w:tabs>
          <w:tab w:val="left" w:pos="1134"/>
          <w:tab w:val="left" w:pos="1276"/>
        </w:tabs>
        <w:spacing w:before="120"/>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If the bidder proposes a shorter deadline than the one indicated in point 6.4. it shall propose the adjusted version of the work process in point 6.5.</w:t>
      </w:r>
    </w:p>
    <w:p w14:paraId="74BE23FB" w14:textId="77777777" w:rsidR="00CB4848" w:rsidRPr="00EC28E1" w:rsidRDefault="00CB4848" w:rsidP="00CB4848">
      <w:pPr>
        <w:pStyle w:val="a3"/>
        <w:numPr>
          <w:ilvl w:val="0"/>
          <w:numId w:val="1"/>
        </w:numPr>
        <w:spacing w:before="120"/>
        <w:contextualSpacing w:val="0"/>
        <w:jc w:val="both"/>
        <w:outlineLvl w:val="0"/>
        <w:rPr>
          <w:rFonts w:eastAsia="Times New Roman" w:cs="Times New Roman"/>
          <w:b/>
          <w:bCs/>
          <w:color w:val="000000" w:themeColor="text1"/>
          <w:sz w:val="28"/>
          <w:szCs w:val="28"/>
          <w:lang w:val="en-GB"/>
        </w:rPr>
      </w:pPr>
      <w:bookmarkStart w:id="6" w:name="_Toc165295232"/>
      <w:r w:rsidRPr="00EC28E1">
        <w:rPr>
          <w:rFonts w:eastAsia="Times New Roman" w:cs="Times New Roman"/>
          <w:b/>
          <w:bCs/>
          <w:color w:val="000000" w:themeColor="text1"/>
          <w:sz w:val="28"/>
          <w:szCs w:val="28"/>
          <w:lang w:val="en-GB"/>
        </w:rPr>
        <w:t>Eligibility Criteria and Method of Estimation of Candidates’ Qualification Data</w:t>
      </w:r>
      <w:bookmarkEnd w:id="6"/>
    </w:p>
    <w:p w14:paraId="3D774B18" w14:textId="4A9ED101" w:rsidR="00CB4848" w:rsidRPr="00EC28E1" w:rsidRDefault="00CB4848" w:rsidP="00CB4848">
      <w:pPr>
        <w:numPr>
          <w:ilvl w:val="1"/>
          <w:numId w:val="1"/>
        </w:numPr>
        <w:pBdr>
          <w:top w:val="nil"/>
          <w:left w:val="nil"/>
          <w:bottom w:val="nil"/>
          <w:right w:val="nil"/>
          <w:between w:val="nil"/>
        </w:pBdr>
        <w:tabs>
          <w:tab w:val="left" w:pos="1134"/>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Bidders shall provide evidence of their qualifications</w:t>
      </w:r>
      <w:r w:rsidR="0006344A">
        <w:rPr>
          <w:rFonts w:eastAsia="Times New Roman" w:cs="Times New Roman"/>
          <w:color w:val="000000" w:themeColor="text1"/>
          <w:sz w:val="28"/>
          <w:szCs w:val="28"/>
          <w:lang w:val="en-GB"/>
        </w:rPr>
        <w:t xml:space="preserve"> and experience</w:t>
      </w:r>
      <w:r w:rsidRPr="00EC28E1">
        <w:rPr>
          <w:rFonts w:eastAsia="Times New Roman" w:cs="Times New Roman"/>
          <w:color w:val="000000" w:themeColor="text1"/>
          <w:sz w:val="28"/>
          <w:szCs w:val="28"/>
          <w:lang w:val="en-GB"/>
        </w:rPr>
        <w:t xml:space="preserve"> by means of supporting and verifiable documents (certificates of specialists, experts, etc.). The technical offer shall include at least one expert in the economic-financial field and one expert in the field of information and communication technology, with the attachment of their CVs</w:t>
      </w:r>
      <w:r w:rsidR="0006344A">
        <w:rPr>
          <w:rFonts w:eastAsia="Times New Roman" w:cs="Times New Roman"/>
          <w:color w:val="000000" w:themeColor="text1"/>
          <w:sz w:val="28"/>
          <w:szCs w:val="28"/>
          <w:lang w:val="en-GB"/>
        </w:rPr>
        <w:t xml:space="preserve"> and </w:t>
      </w:r>
      <w:r w:rsidR="0006344A" w:rsidRPr="00EC28E1">
        <w:rPr>
          <w:rFonts w:eastAsia="Times New Roman" w:cs="Times New Roman"/>
          <w:color w:val="000000" w:themeColor="text1"/>
          <w:sz w:val="28"/>
          <w:szCs w:val="28"/>
          <w:lang w:val="en-GB"/>
        </w:rPr>
        <w:t>qualifications</w:t>
      </w:r>
      <w:r w:rsidRPr="00EC28E1">
        <w:rPr>
          <w:rFonts w:eastAsia="Times New Roman" w:cs="Times New Roman"/>
          <w:color w:val="000000" w:themeColor="text1"/>
          <w:sz w:val="28"/>
          <w:szCs w:val="28"/>
          <w:lang w:val="en-GB"/>
        </w:rPr>
        <w:t>, who shall have experience and shall be appointed for this contract.</w:t>
      </w:r>
    </w:p>
    <w:p w14:paraId="2488BBC0" w14:textId="2B66FEB8" w:rsidR="00CB4848" w:rsidRPr="00EC28E1" w:rsidRDefault="00CB4848" w:rsidP="00CB4848">
      <w:pPr>
        <w:numPr>
          <w:ilvl w:val="1"/>
          <w:numId w:val="1"/>
        </w:numPr>
        <w:pBdr>
          <w:top w:val="nil"/>
          <w:left w:val="nil"/>
          <w:bottom w:val="nil"/>
          <w:right w:val="nil"/>
          <w:between w:val="nil"/>
        </w:pBdr>
        <w:tabs>
          <w:tab w:val="left" w:pos="1134"/>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Similar services provided in the last </w:t>
      </w:r>
      <w:r w:rsidR="00E9499E">
        <w:rPr>
          <w:rFonts w:eastAsia="Times New Roman" w:cs="Times New Roman"/>
          <w:color w:val="000000" w:themeColor="text1"/>
          <w:sz w:val="28"/>
          <w:szCs w:val="28"/>
          <w:lang w:val="en-GB"/>
        </w:rPr>
        <w:t>3</w:t>
      </w:r>
      <w:r w:rsidRPr="00EC28E1">
        <w:rPr>
          <w:rFonts w:eastAsia="Times New Roman" w:cs="Times New Roman"/>
          <w:color w:val="000000" w:themeColor="text1"/>
          <w:sz w:val="28"/>
          <w:szCs w:val="28"/>
          <w:lang w:val="en-GB"/>
        </w:rPr>
        <w:t xml:space="preserve"> years, including values, periods of provision, beneficiaries, whether the latter are contracting authorities or private clients, with the presentation of the links to the projects carried out, information releases on the projects implemented, copies of the minutes of acceptance of works which can be verified</w:t>
      </w:r>
      <w:r w:rsidR="00E9499E">
        <w:rPr>
          <w:rFonts w:eastAsia="Times New Roman" w:cs="Times New Roman"/>
          <w:color w:val="000000" w:themeColor="text1"/>
          <w:sz w:val="28"/>
          <w:szCs w:val="28"/>
          <w:lang w:val="en-GB"/>
        </w:rPr>
        <w:t>, etc</w:t>
      </w:r>
      <w:r w:rsidRPr="00EC28E1">
        <w:rPr>
          <w:rFonts w:eastAsia="Times New Roman" w:cs="Times New Roman"/>
          <w:color w:val="000000" w:themeColor="text1"/>
          <w:sz w:val="28"/>
          <w:szCs w:val="28"/>
          <w:lang w:val="en-GB"/>
        </w:rPr>
        <w:t>.</w:t>
      </w:r>
    </w:p>
    <w:p w14:paraId="2C977B09" w14:textId="6E2E523B" w:rsidR="00CB4848" w:rsidRPr="00EC28E1" w:rsidRDefault="00CB4848" w:rsidP="00CB4848">
      <w:pPr>
        <w:numPr>
          <w:ilvl w:val="1"/>
          <w:numId w:val="1"/>
        </w:numPr>
        <w:pBdr>
          <w:top w:val="nil"/>
          <w:left w:val="nil"/>
          <w:bottom w:val="nil"/>
          <w:right w:val="nil"/>
          <w:between w:val="nil"/>
        </w:pBdr>
        <w:tabs>
          <w:tab w:val="left" w:pos="1134"/>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Any bidder or candidate known to have been convicted within the last </w:t>
      </w:r>
      <w:r w:rsidR="00E9499E">
        <w:rPr>
          <w:rFonts w:eastAsia="Times New Roman" w:cs="Times New Roman"/>
          <w:color w:val="000000" w:themeColor="text1"/>
          <w:sz w:val="28"/>
          <w:szCs w:val="28"/>
          <w:lang w:val="en-GB"/>
        </w:rPr>
        <w:t>5</w:t>
      </w:r>
      <w:r w:rsidRPr="00EC28E1">
        <w:rPr>
          <w:rFonts w:eastAsia="Times New Roman" w:cs="Times New Roman"/>
          <w:color w:val="000000" w:themeColor="text1"/>
          <w:sz w:val="28"/>
          <w:szCs w:val="28"/>
          <w:lang w:val="en-GB"/>
        </w:rPr>
        <w:t xml:space="preserve"> years by a final judgment of a court for participation in the activities of a criminal organisation or group, for corruption, fraud and/or money laundering, for terrorist offences or offences related to terrorist activities, terrorist financing, child labour and other forms of trafficking in human beings will be excluded from the public procurement procedure.</w:t>
      </w:r>
    </w:p>
    <w:p w14:paraId="4A57CA48" w14:textId="77777777" w:rsidR="00CB4848" w:rsidRPr="00EC28E1" w:rsidRDefault="00CB4848" w:rsidP="00CB4848">
      <w:pPr>
        <w:numPr>
          <w:ilvl w:val="1"/>
          <w:numId w:val="1"/>
        </w:numPr>
        <w:pBdr>
          <w:top w:val="nil"/>
          <w:left w:val="nil"/>
          <w:bottom w:val="nil"/>
          <w:right w:val="nil"/>
          <w:between w:val="nil"/>
        </w:pBdr>
        <w:tabs>
          <w:tab w:val="left" w:pos="1134"/>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Contracting authority shall be obliged to exclude from the award procedure of the public procurement contract any bidder or candidate falling under any of the following situations if it:</w:t>
      </w:r>
    </w:p>
    <w:p w14:paraId="24F806F9"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is in insolvency proceedings following a court judgment;</w:t>
      </w:r>
    </w:p>
    <w:p w14:paraId="5A3037A0"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has not met its obligations to pay taxes, duties and social insurance contributions according to the legal provisions in force in the Republic of Moldova or in the country where it is established;</w:t>
      </w:r>
    </w:p>
    <w:p w14:paraId="06D2E5AC"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has been convicted, within the last 3 years, by a final court judgement, of an offence/crime concerning professional ethics or of committing professional misconduct;</w:t>
      </w:r>
    </w:p>
    <w:p w14:paraId="63C1A437"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has submitted false information or has failed to submit information requested by the contracting authority for proving compliance with the qualification and selection criteria;</w:t>
      </w:r>
    </w:p>
    <w:p w14:paraId="16C5BCAE"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has breached applicable environmental, labour and social insurance obligations, if the contracting authority proves this by any appropriate means;</w:t>
      </w:r>
    </w:p>
    <w:p w14:paraId="3AE42BDD"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it is guilty of professional misconduct that calls into question its integrity if the contracting authority proves this by any appropriate means;</w:t>
      </w:r>
    </w:p>
    <w:p w14:paraId="5E739028"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has concluded agreements with other economic operators aimed at distorting competition, if this is established by the decision of the body empowered for this purpose;</w:t>
      </w:r>
    </w:p>
    <w:p w14:paraId="126E2454"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is in a </w:t>
      </w:r>
      <w:proofErr w:type="gramStart"/>
      <w:r w:rsidRPr="00EC28E1">
        <w:rPr>
          <w:rFonts w:eastAsia="Times New Roman" w:cs="Times New Roman"/>
          <w:color w:val="000000" w:themeColor="text1"/>
          <w:sz w:val="28"/>
          <w:szCs w:val="28"/>
          <w:lang w:val="en-GB"/>
        </w:rPr>
        <w:t>conflict of interest</w:t>
      </w:r>
      <w:proofErr w:type="gramEnd"/>
      <w:r w:rsidRPr="00EC28E1">
        <w:rPr>
          <w:rFonts w:eastAsia="Times New Roman" w:cs="Times New Roman"/>
          <w:color w:val="000000" w:themeColor="text1"/>
          <w:sz w:val="28"/>
          <w:szCs w:val="28"/>
          <w:lang w:val="en-GB"/>
        </w:rPr>
        <w:t xml:space="preserve"> situation that cannot be effectively remedied by the measures provided for in Article 79 of the Law of the Republic of Moldova No. 131/2015 on Public Procurement.</w:t>
      </w:r>
    </w:p>
    <w:p w14:paraId="26745D2B" w14:textId="77777777"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is listed in the Ban List of Economic Operators of the Republic of Moldova or included in the European Union’s Early Detection and Exclusion System (EDES).</w:t>
      </w:r>
    </w:p>
    <w:p w14:paraId="59270C5E" w14:textId="77777777" w:rsidR="00CB4848" w:rsidRPr="00EC28E1" w:rsidRDefault="00831F4D"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hyperlink r:id="rId6" w:history="1">
        <w:r w:rsidR="00CB4848" w:rsidRPr="00F30819">
          <w:rPr>
            <w:rStyle w:val="a5"/>
            <w:rFonts w:eastAsia="Times New Roman" w:cs="Times New Roman"/>
            <w:sz w:val="28"/>
            <w:szCs w:val="28"/>
            <w:lang w:val="en-GB"/>
          </w:rPr>
          <w:t>https://tender.gov.md/ro/lista-de-interdictie</w:t>
        </w:r>
      </w:hyperlink>
      <w:r w:rsidR="00CB4848">
        <w:rPr>
          <w:rFonts w:eastAsia="Times New Roman" w:cs="Times New Roman"/>
          <w:color w:val="000000" w:themeColor="text1"/>
          <w:sz w:val="28"/>
          <w:szCs w:val="28"/>
          <w:lang w:val="en-GB"/>
        </w:rPr>
        <w:t xml:space="preserve"> </w:t>
      </w:r>
      <w:r w:rsidR="00CB4848" w:rsidRPr="00EC28E1">
        <w:rPr>
          <w:rFonts w:eastAsia="Times New Roman" w:cs="Times New Roman"/>
          <w:color w:val="000000" w:themeColor="text1"/>
          <w:sz w:val="28"/>
          <w:szCs w:val="28"/>
          <w:lang w:val="en-GB"/>
        </w:rPr>
        <w:t xml:space="preserve">  </w:t>
      </w:r>
    </w:p>
    <w:p w14:paraId="4A125282" w14:textId="77777777" w:rsidR="00CB4848" w:rsidRPr="00EC28E1" w:rsidRDefault="00831F4D"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hyperlink r:id="rId7" w:history="1">
        <w:r w:rsidR="00CB4848" w:rsidRPr="00F30819">
          <w:rPr>
            <w:rStyle w:val="a5"/>
            <w:rFonts w:eastAsia="Times New Roman" w:cs="Times New Roman"/>
            <w:sz w:val="28"/>
            <w:szCs w:val="28"/>
            <w:lang w:val="en-GB"/>
          </w:rPr>
          <w:t>https://commission.europa.eu/strategy-and-policy/eu-budget/how-it-works/annual-lifecycle/implementation/anti-fraud-measures/edes/edes-database_ro</w:t>
        </w:r>
      </w:hyperlink>
      <w:r w:rsidR="00CB4848">
        <w:rPr>
          <w:rFonts w:eastAsia="Times New Roman" w:cs="Times New Roman"/>
          <w:color w:val="000000" w:themeColor="text1"/>
          <w:sz w:val="28"/>
          <w:szCs w:val="28"/>
          <w:lang w:val="en-GB"/>
        </w:rPr>
        <w:t xml:space="preserve"> </w:t>
      </w:r>
    </w:p>
    <w:p w14:paraId="3BF40F55" w14:textId="77777777" w:rsidR="00CB4848" w:rsidRPr="00EC28E1" w:rsidRDefault="00CB4848" w:rsidP="00CB4848">
      <w:pPr>
        <w:pStyle w:val="a3"/>
        <w:numPr>
          <w:ilvl w:val="2"/>
          <w:numId w:val="1"/>
        </w:numPr>
        <w:tabs>
          <w:tab w:val="left" w:pos="1276"/>
          <w:tab w:val="left" w:pos="1560"/>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fails to comply with the incompatibility regime provided for in Article 16 paragraph (6) of Law No. 131/2015 on Public Procurement.</w:t>
      </w:r>
    </w:p>
    <w:p w14:paraId="1CFCFC02" w14:textId="77777777" w:rsidR="00CB4848" w:rsidRPr="00EC28E1" w:rsidRDefault="00CB4848" w:rsidP="00CB4848">
      <w:pPr>
        <w:numPr>
          <w:ilvl w:val="1"/>
          <w:numId w:val="1"/>
        </w:numPr>
        <w:pBdr>
          <w:top w:val="nil"/>
          <w:left w:val="nil"/>
          <w:bottom w:val="nil"/>
          <w:right w:val="nil"/>
          <w:between w:val="nil"/>
        </w:pBdr>
        <w:tabs>
          <w:tab w:val="left" w:pos="851"/>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Specialist technical staff/body available to or contracted by the bidder/candidate, in particular for quality control purposes. </w:t>
      </w:r>
    </w:p>
    <w:p w14:paraId="305CA12F" w14:textId="77777777" w:rsidR="00CB4848" w:rsidRPr="00EC28E1" w:rsidRDefault="00CB4848" w:rsidP="00CB4848">
      <w:pPr>
        <w:pStyle w:val="a3"/>
        <w:numPr>
          <w:ilvl w:val="0"/>
          <w:numId w:val="1"/>
        </w:numPr>
        <w:spacing w:before="120"/>
        <w:contextualSpacing w:val="0"/>
        <w:jc w:val="both"/>
        <w:outlineLvl w:val="0"/>
        <w:rPr>
          <w:rFonts w:eastAsia="Times New Roman" w:cs="Times New Roman"/>
          <w:b/>
          <w:bCs/>
          <w:color w:val="000000" w:themeColor="text1"/>
          <w:sz w:val="28"/>
          <w:szCs w:val="28"/>
          <w:lang w:val="en-GB"/>
        </w:rPr>
      </w:pPr>
      <w:bookmarkStart w:id="7" w:name="_Toc163476011"/>
      <w:bookmarkStart w:id="8" w:name="_Toc165295233"/>
      <w:r w:rsidRPr="006F1684">
        <w:rPr>
          <w:rFonts w:eastAsia="Times New Roman" w:cs="Times New Roman"/>
          <w:b/>
          <w:bCs/>
          <w:color w:val="000000" w:themeColor="text1"/>
          <w:sz w:val="28"/>
          <w:szCs w:val="28"/>
          <w:lang w:val="en-GB"/>
        </w:rPr>
        <w:t xml:space="preserve">Bid </w:t>
      </w:r>
      <w:r w:rsidRPr="00EC28E1">
        <w:rPr>
          <w:rFonts w:eastAsia="Times New Roman" w:cs="Times New Roman"/>
          <w:b/>
          <w:bCs/>
          <w:color w:val="000000" w:themeColor="text1"/>
          <w:sz w:val="28"/>
          <w:szCs w:val="28"/>
          <w:lang w:val="en-GB"/>
        </w:rPr>
        <w:t>Evaluation Criteria/ Contract Award Criterion “Best Price-Quality Ratio”.</w:t>
      </w:r>
      <w:bookmarkEnd w:id="7"/>
      <w:bookmarkEnd w:id="8"/>
    </w:p>
    <w:p w14:paraId="6CA05459" w14:textId="77777777" w:rsidR="00CB4848" w:rsidRPr="00EC28E1" w:rsidRDefault="00CB4848" w:rsidP="00CB4848">
      <w:pPr>
        <w:numPr>
          <w:ilvl w:val="1"/>
          <w:numId w:val="1"/>
        </w:numPr>
        <w:pBdr>
          <w:top w:val="nil"/>
          <w:left w:val="nil"/>
          <w:bottom w:val="nil"/>
          <w:right w:val="nil"/>
          <w:between w:val="nil"/>
        </w:pBdr>
        <w:tabs>
          <w:tab w:val="left" w:pos="851"/>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evaluation criteria and evaluation value:</w:t>
      </w:r>
    </w:p>
    <w:p w14:paraId="5DD0D716" w14:textId="2F75D251" w:rsidR="00CB4848" w:rsidRPr="00EC28E1" w:rsidRDefault="00CB4848" w:rsidP="00CB4848">
      <w:pPr>
        <w:pStyle w:val="a3"/>
        <w:numPr>
          <w:ilvl w:val="2"/>
          <w:numId w:val="1"/>
        </w:numPr>
        <w:tabs>
          <w:tab w:val="left" w:pos="1418"/>
        </w:tabs>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lowest price - </w:t>
      </w:r>
      <w:r w:rsidR="008154DC">
        <w:rPr>
          <w:rFonts w:eastAsia="Times New Roman" w:cs="Times New Roman"/>
          <w:color w:val="000000" w:themeColor="text1"/>
          <w:sz w:val="28"/>
          <w:szCs w:val="28"/>
          <w:lang w:val="en-GB"/>
        </w:rPr>
        <w:t>5</w:t>
      </w:r>
      <w:r w:rsidRPr="00EC28E1">
        <w:rPr>
          <w:rFonts w:eastAsia="Times New Roman" w:cs="Times New Roman"/>
          <w:color w:val="000000" w:themeColor="text1"/>
          <w:sz w:val="28"/>
          <w:szCs w:val="28"/>
          <w:lang w:val="en-GB"/>
        </w:rPr>
        <w:t>0 %;</w:t>
      </w:r>
    </w:p>
    <w:p w14:paraId="2FD85177" w14:textId="77777777" w:rsidR="00CB4848" w:rsidRPr="00EC28E1" w:rsidRDefault="00CB4848" w:rsidP="00CB4848">
      <w:pPr>
        <w:numPr>
          <w:ilvl w:val="0"/>
          <w:numId w:val="1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for the lowest of the sum of the bids, the maximum score allocated to the evaluation factor concerned shall be awarded;</w:t>
      </w:r>
    </w:p>
    <w:p w14:paraId="18BA2058" w14:textId="77777777" w:rsidR="00CB4848" w:rsidRPr="00EC28E1" w:rsidRDefault="00CB4848" w:rsidP="00CB4848">
      <w:pPr>
        <w:numPr>
          <w:ilvl w:val="0"/>
          <w:numId w:val="11"/>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for an amount other than that referred to in point (a), the score shall be awarded as follows: So(n) = (minimum bid amount/sum (n) x maximum score awarded).</w:t>
      </w:r>
    </w:p>
    <w:p w14:paraId="377788D7" w14:textId="135F7688"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experience in similar activities minimum </w:t>
      </w:r>
      <w:r w:rsidR="00E9499E">
        <w:rPr>
          <w:rFonts w:eastAsia="Times New Roman" w:cs="Times New Roman"/>
          <w:color w:val="000000" w:themeColor="text1"/>
          <w:sz w:val="28"/>
          <w:szCs w:val="28"/>
          <w:lang w:val="en-GB"/>
        </w:rPr>
        <w:t>3</w:t>
      </w:r>
      <w:r w:rsidRPr="00EC28E1">
        <w:rPr>
          <w:rFonts w:eastAsia="Times New Roman" w:cs="Times New Roman"/>
          <w:color w:val="000000" w:themeColor="text1"/>
          <w:sz w:val="28"/>
          <w:szCs w:val="28"/>
          <w:lang w:val="en-GB"/>
        </w:rPr>
        <w:t xml:space="preserve"> years - 30 %</w:t>
      </w:r>
    </w:p>
    <w:p w14:paraId="7FC974C5" w14:textId="77777777" w:rsidR="00CB4848" w:rsidRPr="00EC28E1" w:rsidRDefault="00CB4848" w:rsidP="00CB4848">
      <w:pPr>
        <w:numPr>
          <w:ilvl w:val="0"/>
          <w:numId w:val="12"/>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for the longest period of experience, the maximum score shall be awarded for the evaluation factor concerned;</w:t>
      </w:r>
    </w:p>
    <w:p w14:paraId="6E91B382" w14:textId="77777777" w:rsidR="00CB4848" w:rsidRPr="00EC28E1" w:rsidRDefault="00CB4848" w:rsidP="00CB4848">
      <w:pPr>
        <w:numPr>
          <w:ilvl w:val="0"/>
          <w:numId w:val="12"/>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for a period, other than that referred to in point (a) the score shall be awarded as follows: Pe(n) = (experience period (n) x maximum score awarded/maximum experience period offered);</w:t>
      </w:r>
    </w:p>
    <w:p w14:paraId="66A06B80" w14:textId="1D056532" w:rsidR="00CB4848" w:rsidRPr="00EC28E1" w:rsidRDefault="00CB4848" w:rsidP="00CB4848">
      <w:pPr>
        <w:numPr>
          <w:ilvl w:val="0"/>
          <w:numId w:val="12"/>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a period of less than </w:t>
      </w:r>
      <w:r w:rsidR="00E9499E">
        <w:rPr>
          <w:rFonts w:eastAsia="Times New Roman" w:cs="Times New Roman"/>
          <w:color w:val="000000" w:themeColor="text1"/>
          <w:sz w:val="28"/>
          <w:szCs w:val="28"/>
          <w:lang w:val="en-GB"/>
        </w:rPr>
        <w:t>3</w:t>
      </w:r>
      <w:r w:rsidRPr="00EC28E1">
        <w:rPr>
          <w:rFonts w:eastAsia="Times New Roman" w:cs="Times New Roman"/>
          <w:color w:val="000000" w:themeColor="text1"/>
          <w:sz w:val="28"/>
          <w:szCs w:val="28"/>
          <w:lang w:val="en-GB"/>
        </w:rPr>
        <w:t xml:space="preserve"> years’ experience shall not qualify.</w:t>
      </w:r>
    </w:p>
    <w:p w14:paraId="3348EF48" w14:textId="1408C71D" w:rsidR="00CB4848" w:rsidRPr="00EC28E1" w:rsidRDefault="00CB4848" w:rsidP="00CB4848">
      <w:pPr>
        <w:pStyle w:val="a3"/>
        <w:numPr>
          <w:ilvl w:val="2"/>
          <w:numId w:val="1"/>
        </w:numP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maximum contract performance period 150 (one hundred and fifty) calendar days - </w:t>
      </w:r>
      <w:r w:rsidR="008154DC">
        <w:rPr>
          <w:rFonts w:eastAsia="Times New Roman" w:cs="Times New Roman"/>
          <w:color w:val="000000" w:themeColor="text1"/>
          <w:sz w:val="28"/>
          <w:szCs w:val="28"/>
          <w:lang w:val="en-GB"/>
        </w:rPr>
        <w:t>2</w:t>
      </w:r>
      <w:r w:rsidRPr="00EC28E1">
        <w:rPr>
          <w:rFonts w:eastAsia="Times New Roman" w:cs="Times New Roman"/>
          <w:color w:val="000000" w:themeColor="text1"/>
          <w:sz w:val="28"/>
          <w:szCs w:val="28"/>
          <w:lang w:val="en-GB"/>
        </w:rPr>
        <w:t>0%</w:t>
      </w:r>
    </w:p>
    <w:p w14:paraId="10107892" w14:textId="77777777" w:rsidR="00CB4848" w:rsidRPr="00EC28E1" w:rsidRDefault="00CB4848" w:rsidP="00CB4848">
      <w:pPr>
        <w:numPr>
          <w:ilvl w:val="0"/>
          <w:numId w:val="13"/>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for the shortest period of execution, the maximum score allocated to the respective evaluation factor shall be awarded;</w:t>
      </w:r>
    </w:p>
    <w:p w14:paraId="62EE4397" w14:textId="77777777" w:rsidR="00CB4848" w:rsidRPr="00EC28E1" w:rsidRDefault="00CB4848" w:rsidP="00CB4848">
      <w:pPr>
        <w:numPr>
          <w:ilvl w:val="0"/>
          <w:numId w:val="13"/>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for any period, other than that referred to in point (a), the score shall be awarded as follows: </w:t>
      </w:r>
      <w:proofErr w:type="spellStart"/>
      <w:r w:rsidRPr="00EC28E1">
        <w:rPr>
          <w:rFonts w:eastAsia="Times New Roman" w:cs="Times New Roman"/>
          <w:color w:val="000000" w:themeColor="text1"/>
          <w:sz w:val="28"/>
          <w:szCs w:val="28"/>
          <w:lang w:val="en-GB"/>
        </w:rPr>
        <w:t>Te</w:t>
      </w:r>
      <w:proofErr w:type="spellEnd"/>
      <w:r w:rsidRPr="00EC28E1">
        <w:rPr>
          <w:rFonts w:eastAsia="Times New Roman" w:cs="Times New Roman"/>
          <w:color w:val="000000" w:themeColor="text1"/>
          <w:sz w:val="28"/>
          <w:szCs w:val="28"/>
          <w:lang w:val="en-GB"/>
        </w:rPr>
        <w:t>(n) = (execution period (n) x maximum score allocated/maximum execution period offered);</w:t>
      </w:r>
    </w:p>
    <w:p w14:paraId="69A3EDCA" w14:textId="77777777" w:rsidR="00CB4848" w:rsidRPr="00EC28E1" w:rsidRDefault="00CB4848" w:rsidP="00CB4848">
      <w:pPr>
        <w:numPr>
          <w:ilvl w:val="0"/>
          <w:numId w:val="13"/>
        </w:numPr>
        <w:pBdr>
          <w:top w:val="nil"/>
          <w:left w:val="nil"/>
          <w:bottom w:val="nil"/>
          <w:right w:val="nil"/>
          <w:between w:val="nil"/>
        </w:pBdr>
        <w:tabs>
          <w:tab w:val="left" w:pos="993"/>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execution period longer than 150 days does not qualify.</w:t>
      </w:r>
    </w:p>
    <w:p w14:paraId="50E65AD7" w14:textId="77777777" w:rsidR="00CB4848" w:rsidRPr="00EC28E1" w:rsidRDefault="00CB4848" w:rsidP="00CB4848">
      <w:pPr>
        <w:numPr>
          <w:ilvl w:val="1"/>
          <w:numId w:val="1"/>
        </w:numPr>
        <w:pBdr>
          <w:top w:val="nil"/>
          <w:left w:val="nil"/>
          <w:bottom w:val="nil"/>
          <w:right w:val="nil"/>
          <w:between w:val="nil"/>
        </w:pBdr>
        <w:tabs>
          <w:tab w:val="left" w:pos="851"/>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Demonstration of the economic and financial capacity of the economic operator shall be carried out by submitting relevant documents, such as:</w:t>
      </w:r>
    </w:p>
    <w:p w14:paraId="3037B8A2" w14:textId="77777777" w:rsidR="00CB4848" w:rsidRPr="00EC28E1" w:rsidRDefault="00CB4848" w:rsidP="00CB4848">
      <w:pPr>
        <w:numPr>
          <w:ilvl w:val="2"/>
          <w:numId w:val="1"/>
        </w:numPr>
        <w:pBdr>
          <w:top w:val="nil"/>
          <w:left w:val="nil"/>
          <w:bottom w:val="nil"/>
          <w:right w:val="nil"/>
          <w:between w:val="nil"/>
        </w:pBdr>
        <w:tabs>
          <w:tab w:val="left" w:pos="1276"/>
          <w:tab w:val="left" w:pos="1701"/>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appropriate bank statements or, where appropriate, evidence of professional risk assurance;</w:t>
      </w:r>
    </w:p>
    <w:p w14:paraId="64B2E01D" w14:textId="77777777" w:rsidR="00CB4848" w:rsidRPr="00EC28E1" w:rsidRDefault="00CB4848" w:rsidP="00CB4848">
      <w:pPr>
        <w:numPr>
          <w:ilvl w:val="2"/>
          <w:numId w:val="1"/>
        </w:numPr>
        <w:pBdr>
          <w:top w:val="nil"/>
          <w:left w:val="nil"/>
          <w:bottom w:val="nil"/>
          <w:right w:val="nil"/>
          <w:between w:val="nil"/>
        </w:pBdr>
        <w:tabs>
          <w:tab w:val="left" w:pos="1276"/>
          <w:tab w:val="left" w:pos="1701"/>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financial reports or, where publication of such reports is required under the legislation of the country in which the bidder/candidate is established, extracts from the financial reports;</w:t>
      </w:r>
    </w:p>
    <w:p w14:paraId="3D4C9A64" w14:textId="13B91AC8" w:rsidR="00CB4848" w:rsidRPr="00EC28E1" w:rsidRDefault="00CB4848" w:rsidP="00CB4848">
      <w:pPr>
        <w:numPr>
          <w:ilvl w:val="2"/>
          <w:numId w:val="1"/>
        </w:numPr>
        <w:pBdr>
          <w:top w:val="nil"/>
          <w:left w:val="nil"/>
          <w:bottom w:val="nil"/>
          <w:right w:val="nil"/>
          <w:between w:val="nil"/>
        </w:pBdr>
        <w:tabs>
          <w:tab w:val="left" w:pos="1276"/>
          <w:tab w:val="left" w:pos="1701"/>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 xml:space="preserve">statements of turnover in the area of activity related to the subject matter of the contract in a previous period covering the activity of the last </w:t>
      </w:r>
      <w:r w:rsidR="00E9499E">
        <w:rPr>
          <w:rFonts w:eastAsia="Times New Roman" w:cs="Times New Roman"/>
          <w:color w:val="000000" w:themeColor="text1"/>
          <w:sz w:val="28"/>
          <w:szCs w:val="28"/>
        </w:rPr>
        <w:t>3</w:t>
      </w:r>
      <w:r w:rsidRPr="00EC28E1">
        <w:rPr>
          <w:rFonts w:eastAsia="Times New Roman" w:cs="Times New Roman"/>
          <w:color w:val="000000" w:themeColor="text1"/>
          <w:sz w:val="28"/>
          <w:szCs w:val="28"/>
        </w:rPr>
        <w:t xml:space="preserve"> years (liquidity 100% contract value confirmed by bank account statement of the current year obtained no later than 5 days before the submission of the set of documents). </w:t>
      </w:r>
    </w:p>
    <w:p w14:paraId="3ECBD0B6" w14:textId="77777777" w:rsidR="00CB4848" w:rsidRPr="00EC28E1" w:rsidRDefault="00CB4848" w:rsidP="00CB4848">
      <w:pPr>
        <w:pStyle w:val="a3"/>
        <w:numPr>
          <w:ilvl w:val="0"/>
          <w:numId w:val="1"/>
        </w:numPr>
        <w:spacing w:before="120"/>
        <w:contextualSpacing w:val="0"/>
        <w:jc w:val="both"/>
        <w:outlineLvl w:val="0"/>
        <w:rPr>
          <w:rFonts w:eastAsia="Times New Roman" w:cs="Times New Roman"/>
          <w:b/>
          <w:bCs/>
          <w:color w:val="000000" w:themeColor="text1"/>
          <w:sz w:val="28"/>
          <w:szCs w:val="28"/>
          <w:lang w:val="en-GB"/>
        </w:rPr>
      </w:pPr>
      <w:bookmarkStart w:id="9" w:name="_heading=h.t5iuha20iwe5" w:colFirst="0" w:colLast="0"/>
      <w:bookmarkStart w:id="10" w:name="_Toc165295234"/>
      <w:bookmarkEnd w:id="9"/>
      <w:r w:rsidRPr="00EC28E1">
        <w:rPr>
          <w:rFonts w:eastAsia="Times New Roman" w:cs="Times New Roman"/>
          <w:b/>
          <w:bCs/>
          <w:color w:val="000000" w:themeColor="text1"/>
          <w:sz w:val="28"/>
          <w:szCs w:val="28"/>
          <w:lang w:val="en-GB"/>
        </w:rPr>
        <w:t>Rules and Instructions for Bidders</w:t>
      </w:r>
      <w:bookmarkEnd w:id="10"/>
    </w:p>
    <w:p w14:paraId="2C129C8D"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Access for bidders is open to EU Member States and those party to the Government Procurement Agreement (Armenia; Australia; Canada; Chinese Taipei; Hong Kong (China); Iceland; Israel; Japan; Liechtenstein; Montenegro; Moldova; Norway; New Zealand; South Korea; Singapore; Switzerland; Ukraine; United States of America; and the Netherlands).</w:t>
      </w:r>
    </w:p>
    <w:p w14:paraId="610C9D2B"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Resident and non-resident bidders shall submit their bids in EURO excluding VAT.</w:t>
      </w:r>
    </w:p>
    <w:p w14:paraId="3BF6738E"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 xml:space="preserve">All bids, correspondence and tender documents must be submitted into English or Romanian. </w:t>
      </w:r>
    </w:p>
    <w:p w14:paraId="78BBEEDE"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bookmarkStart w:id="11" w:name="_heading=h.cmp3yc3nv3fw" w:colFirst="0" w:colLast="0"/>
      <w:bookmarkEnd w:id="11"/>
      <w:r w:rsidRPr="00EC28E1">
        <w:rPr>
          <w:rFonts w:eastAsia="Times New Roman" w:cs="Times New Roman"/>
          <w:color w:val="000000" w:themeColor="text1"/>
          <w:sz w:val="28"/>
          <w:szCs w:val="28"/>
          <w:lang w:val="en-GB"/>
        </w:rPr>
        <w:t>The written and signed bid in electronic format, by the company’s administrator indicated in the Extract from the State Register of Legal Entities or by the person empowered both in case of delegation or empowerment of the person, shall be attached to the bid the deed/document of empowerment and shall be submitted in compliance with the requirements set out in Annex 2 in accordance with the existing instruments in the SIA RSAP, except for cases referred to in Article 33 paragraphs (7) and (11) of Law No. 131/2015 on Public Procurement.</w:t>
      </w:r>
    </w:p>
    <w:p w14:paraId="5CC7A425"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The bidder must take all measures to ensure that the bid is received and registered in the SIA RSAP by the deadline for submission of bids, taking into account the time required for uploading the bid into the system.</w:t>
      </w:r>
    </w:p>
    <w:p w14:paraId="71F1160D"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lang w:val="en-GB"/>
        </w:rPr>
      </w:pPr>
      <w:bookmarkStart w:id="12" w:name="_heading=h.frfbeh2wzaew" w:colFirst="0" w:colLast="0"/>
      <w:bookmarkEnd w:id="12"/>
      <w:r w:rsidRPr="00EC28E1">
        <w:rPr>
          <w:rFonts w:eastAsia="Times New Roman" w:cs="Times New Roman"/>
          <w:color w:val="000000" w:themeColor="text1"/>
          <w:sz w:val="28"/>
          <w:szCs w:val="28"/>
          <w:lang w:val="en-GB"/>
        </w:rPr>
        <w:t>For non-residents, in addition to the written and electronically signed Bid, a Link to the web page where the authenticity of the electronic signature can be verified will be attached.</w:t>
      </w:r>
    </w:p>
    <w:p w14:paraId="48E7DF2B" w14:textId="77777777" w:rsidR="00CB4848" w:rsidRPr="00EC28E1" w:rsidRDefault="00CB4848" w:rsidP="00CB4848">
      <w:pPr>
        <w:numPr>
          <w:ilvl w:val="1"/>
          <w:numId w:val="1"/>
        </w:numPr>
        <w:pBdr>
          <w:top w:val="nil"/>
          <w:left w:val="nil"/>
          <w:bottom w:val="nil"/>
          <w:right w:val="nil"/>
          <w:between w:val="nil"/>
        </w:pBdr>
        <w:tabs>
          <w:tab w:val="left" w:pos="851"/>
          <w:tab w:val="left" w:pos="1134"/>
        </w:tabs>
        <w:ind w:left="0" w:firstLine="567"/>
        <w:jc w:val="both"/>
        <w:rPr>
          <w:rFonts w:eastAsia="Times New Roman" w:cs="Times New Roman"/>
          <w:color w:val="000000" w:themeColor="text1"/>
          <w:sz w:val="28"/>
          <w:szCs w:val="28"/>
        </w:rPr>
      </w:pPr>
      <w:bookmarkStart w:id="13" w:name="_heading=h.vpibittc7ux7" w:colFirst="0" w:colLast="0"/>
      <w:bookmarkEnd w:id="13"/>
      <w:r w:rsidRPr="00EC28E1">
        <w:rPr>
          <w:rFonts w:eastAsia="Times New Roman" w:cs="Times New Roman"/>
          <w:color w:val="000000" w:themeColor="text1"/>
          <w:sz w:val="28"/>
          <w:szCs w:val="28"/>
        </w:rPr>
        <w:t>Access to the SIA “RSAP” for bidders is free and non-discriminatory. Registration and conclusion of the agreement for use of the SIA “RSAP” shall be carried out by electronic means of communication with the application of the electronic signature, unless the bidders request the agreement to be signed by holographic signature.</w:t>
      </w:r>
    </w:p>
    <w:p w14:paraId="02694493"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rPr>
      </w:pPr>
      <w:bookmarkStart w:id="14" w:name="_heading=h.39j6j23g9mp0" w:colFirst="0" w:colLast="0"/>
      <w:bookmarkEnd w:id="14"/>
      <w:r w:rsidRPr="00EC28E1">
        <w:rPr>
          <w:rFonts w:eastAsia="Times New Roman" w:cs="Times New Roman"/>
          <w:color w:val="000000" w:themeColor="text1"/>
          <w:sz w:val="28"/>
          <w:szCs w:val="28"/>
        </w:rPr>
        <w:t>Risks of transmission of the bid, including force majeure, shall be borne by the economic operator.</w:t>
      </w:r>
    </w:p>
    <w:p w14:paraId="1B78679D" w14:textId="77777777" w:rsidR="00CB4848" w:rsidRPr="00EC28E1" w:rsidRDefault="00CB4848" w:rsidP="00CB4848">
      <w:pPr>
        <w:numPr>
          <w:ilvl w:val="1"/>
          <w:numId w:val="1"/>
        </w:numPr>
        <w:pBdr>
          <w:top w:val="nil"/>
          <w:left w:val="nil"/>
          <w:bottom w:val="nil"/>
          <w:right w:val="nil"/>
          <w:between w:val="nil"/>
        </w:pBdr>
        <w:tabs>
          <w:tab w:val="left" w:pos="1134"/>
        </w:tabs>
        <w:ind w:left="0" w:firstLine="567"/>
        <w:jc w:val="both"/>
        <w:rPr>
          <w:rFonts w:eastAsia="Times New Roman" w:cs="Times New Roman"/>
          <w:color w:val="000000" w:themeColor="text1"/>
          <w:sz w:val="28"/>
          <w:szCs w:val="28"/>
        </w:rPr>
      </w:pPr>
      <w:bookmarkStart w:id="15" w:name="_heading=h.xnadp9oxs42e" w:colFirst="0" w:colLast="0"/>
      <w:bookmarkEnd w:id="15"/>
      <w:r w:rsidRPr="00EC28E1">
        <w:rPr>
          <w:rFonts w:eastAsia="Times New Roman" w:cs="Times New Roman"/>
          <w:color w:val="000000" w:themeColor="text1"/>
          <w:sz w:val="28"/>
          <w:szCs w:val="28"/>
        </w:rPr>
        <w:t>Validity period of bids is 90 days.</w:t>
      </w:r>
    </w:p>
    <w:p w14:paraId="752BABF4"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rPr>
        <w:t>All documents must be filled in without any modification or deviation from the forms, blank spaces being filled in with the required information. Incorrect filling in of the forms will lead to rejection of the bid</w:t>
      </w:r>
      <w:r w:rsidRPr="00EC28E1">
        <w:rPr>
          <w:rFonts w:eastAsia="Times New Roman" w:cs="Times New Roman"/>
          <w:color w:val="000000" w:themeColor="text1"/>
          <w:sz w:val="28"/>
          <w:szCs w:val="28"/>
          <w:lang w:val="en-GB"/>
        </w:rPr>
        <w:t>.</w:t>
      </w:r>
    </w:p>
    <w:p w14:paraId="2770B025"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bookmarkStart w:id="16" w:name="_heading=h.7cdhd9alc6e8" w:colFirst="0" w:colLast="0"/>
      <w:bookmarkEnd w:id="16"/>
      <w:r w:rsidRPr="00EC28E1">
        <w:rPr>
          <w:rFonts w:eastAsia="Times New Roman" w:cs="Times New Roman"/>
          <w:color w:val="000000" w:themeColor="text1"/>
          <w:sz w:val="28"/>
          <w:szCs w:val="28"/>
          <w:lang w:val="en-GB"/>
        </w:rPr>
        <w:t>Pursuant to Article 19 paragraph (3) letter d) of Law 131/2015 on Public Procurement, the Contracting Authority shall exclude from the public procurement procedure any bidder in case of submission of false information or failure to submit the information required for proving compliance with the qualification and selection criteria.</w:t>
      </w:r>
    </w:p>
    <w:p w14:paraId="292242B3"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rPr>
        <w:t>Bid guarantee, amount: 2% of the amount of the bid excluding VAT. Contract performance guarantee, amount: 10% of the amount of the contract to be provided upon signature of the contract</w:t>
      </w:r>
      <w:r w:rsidRPr="00EC28E1">
        <w:rPr>
          <w:rFonts w:eastAsia="Times New Roman" w:cs="Times New Roman"/>
          <w:color w:val="000000" w:themeColor="text1"/>
          <w:sz w:val="28"/>
          <w:szCs w:val="28"/>
          <w:lang w:val="en-GB"/>
        </w:rPr>
        <w:t>.</w:t>
      </w:r>
    </w:p>
    <w:p w14:paraId="22659CE7"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bookmarkStart w:id="17" w:name="_heading=h.5swbzdp7kivl" w:colFirst="0" w:colLast="0"/>
      <w:bookmarkEnd w:id="17"/>
      <w:r w:rsidRPr="00EC28E1">
        <w:rPr>
          <w:rFonts w:eastAsia="Times New Roman" w:cs="Times New Roman"/>
          <w:color w:val="000000" w:themeColor="text1"/>
          <w:sz w:val="28"/>
          <w:szCs w:val="28"/>
          <w:lang w:val="en-GB"/>
        </w:rPr>
        <w:t>Natural persons and legal entities that are registered, reside or carry out their main economic activity in jurisdictions or autonomous regions that do not implement international transparency standards, as well as legal entities that include, directly or indirectly, one or more persons (founders, associates, shareholders, administrators, beneficial owners) that are registered, reside or carry out their main economic activity in such jurisdictions or autonomous regions, are not eligible to participate as candidates according to the national legislation of the Republic of Moldova. Methodology for determining the jurisdictions not implementing international transparency standards, as well as the list of such jurisdictions, shall be approved by the Government, upon proposal of the Office for Prevention and Fight against Money Laundering, after consultation with the National Bank of Moldova and the National Commission for Financial Markets.</w:t>
      </w:r>
    </w:p>
    <w:p w14:paraId="2F411586"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bookmarkStart w:id="18" w:name="_heading=h.k14qefbg2298" w:colFirst="0" w:colLast="0"/>
      <w:bookmarkEnd w:id="18"/>
      <w:r w:rsidRPr="00EC28E1">
        <w:rPr>
          <w:rFonts w:eastAsia="Times New Roman" w:cs="Times New Roman"/>
          <w:color w:val="000000" w:themeColor="text1"/>
          <w:sz w:val="28"/>
          <w:szCs w:val="28"/>
          <w:lang w:val="en-GB"/>
        </w:rPr>
        <w:t>Deadline for signing and submitting the contract to the contracting authority - 10 days from the date of submission for signature, according to the Template approved by the Ministry of Finance of the Republic of Moldova by Order No. 115/2021 for conducting procurement of supplies and services.</w:t>
      </w:r>
    </w:p>
    <w:p w14:paraId="6EE373B8"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sidRPr="00EC28E1">
        <w:rPr>
          <w:rFonts w:eastAsia="Times New Roman" w:cs="Times New Roman"/>
          <w:color w:val="000000" w:themeColor="text1"/>
          <w:sz w:val="28"/>
          <w:szCs w:val="28"/>
          <w:lang w:val="en-GB"/>
        </w:rPr>
        <w:t>If the contract is not signed with the winner of the competition for justified reasons, the General Inspectorate for Emergency Situations shall invite the next participant nominated by the Commission. If the contract is not signed with the second participant either, the General Inspectorate for Emergency Situations may invite other participants to the competition nominated by the Commission according to the score obtained under the evaluation table.</w:t>
      </w:r>
    </w:p>
    <w:p w14:paraId="26DB42F8"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bookmarkStart w:id="19" w:name="_heading=h.2kvx9wggvuuj" w:colFirst="0" w:colLast="0"/>
      <w:bookmarkEnd w:id="19"/>
      <w:r w:rsidRPr="00EC28E1">
        <w:rPr>
          <w:rFonts w:eastAsia="Times New Roman" w:cs="Times New Roman"/>
          <w:color w:val="000000" w:themeColor="text1"/>
          <w:sz w:val="28"/>
          <w:szCs w:val="28"/>
          <w:lang w:val="en-GB"/>
        </w:rPr>
        <w:t>Dispute settlement and legal liability will be conducted under the national legislation of the Republic of Moldova.</w:t>
      </w:r>
    </w:p>
    <w:p w14:paraId="44A4F7F0"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bookmarkStart w:id="20" w:name="_heading=h.w9klizbk8xmf" w:colFirst="0" w:colLast="0"/>
      <w:bookmarkEnd w:id="20"/>
      <w:r w:rsidRPr="00EC28E1">
        <w:rPr>
          <w:rFonts w:eastAsia="Times New Roman" w:cs="Times New Roman"/>
          <w:color w:val="000000" w:themeColor="text1"/>
          <w:sz w:val="28"/>
          <w:szCs w:val="28"/>
          <w:lang w:val="en-GB"/>
        </w:rPr>
        <w:t>Method of full payment on final acceptance.</w:t>
      </w:r>
    </w:p>
    <w:p w14:paraId="07C895D9" w14:textId="77777777" w:rsidR="00CB4848" w:rsidRPr="00EC28E1" w:rsidRDefault="00CB4848" w:rsidP="00CB4848">
      <w:pPr>
        <w:pStyle w:val="a3"/>
        <w:numPr>
          <w:ilvl w:val="0"/>
          <w:numId w:val="1"/>
        </w:numPr>
        <w:tabs>
          <w:tab w:val="left" w:pos="0"/>
          <w:tab w:val="left" w:pos="426"/>
          <w:tab w:val="left" w:pos="2552"/>
        </w:tabs>
        <w:spacing w:before="120"/>
        <w:ind w:left="0" w:firstLine="0"/>
        <w:contextualSpacing w:val="0"/>
        <w:jc w:val="both"/>
        <w:outlineLvl w:val="0"/>
        <w:rPr>
          <w:rFonts w:eastAsia="Times New Roman" w:cs="Times New Roman"/>
          <w:b/>
          <w:bCs/>
          <w:color w:val="000000" w:themeColor="text1"/>
          <w:sz w:val="28"/>
          <w:szCs w:val="28"/>
          <w:lang w:val="en-GB"/>
        </w:rPr>
      </w:pPr>
      <w:bookmarkStart w:id="21" w:name="_Toc165295235"/>
      <w:r w:rsidRPr="00EC28E1">
        <w:rPr>
          <w:rFonts w:eastAsia="Times New Roman" w:cs="Times New Roman"/>
          <w:b/>
          <w:bCs/>
          <w:color w:val="000000" w:themeColor="text1"/>
          <w:sz w:val="28"/>
          <w:szCs w:val="28"/>
          <w:lang w:val="en-GB"/>
        </w:rPr>
        <w:t>Quality Control of Documentation drawn up under the Service Contract</w:t>
      </w:r>
      <w:bookmarkEnd w:id="21"/>
    </w:p>
    <w:p w14:paraId="35294946" w14:textId="77777777" w:rsidR="00CB4848" w:rsidRPr="00EC28E1" w:rsidRDefault="00CB4848"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sidRPr="00EC28E1">
        <w:rPr>
          <w:rFonts w:eastAsia="Times New Roman" w:cs="Times New Roman"/>
          <w:color w:val="000000" w:themeColor="text1"/>
          <w:sz w:val="28"/>
          <w:szCs w:val="28"/>
        </w:rPr>
        <w:t>Documentation will be drawn up as per international standards concerning the preparation of feasibility studies, technical documentation and primary documentation for the procurement procedure.</w:t>
      </w:r>
    </w:p>
    <w:p w14:paraId="0BECD90D" w14:textId="004E48DE" w:rsidR="00CB4848" w:rsidRPr="00EC28E1" w:rsidRDefault="00831F4D"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rPr>
      </w:pPr>
      <w:r>
        <w:rPr>
          <w:rFonts w:eastAsia="Times New Roman" w:cs="Times New Roman"/>
          <w:color w:val="000000" w:themeColor="text1"/>
          <w:sz w:val="28"/>
          <w:szCs w:val="28"/>
        </w:rPr>
        <w:t>In case it is necessary, the d</w:t>
      </w:r>
      <w:r w:rsidR="00CB4848" w:rsidRPr="00EC28E1">
        <w:rPr>
          <w:rFonts w:eastAsia="Times New Roman" w:cs="Times New Roman"/>
          <w:color w:val="000000" w:themeColor="text1"/>
          <w:sz w:val="28"/>
          <w:szCs w:val="28"/>
        </w:rPr>
        <w:t>ocumentation will have attached - opinions, copyright agreements and collaboration agreements enabling the implementation process of the N</w:t>
      </w:r>
      <w:r w:rsidR="00CB4848">
        <w:rPr>
          <w:rFonts w:eastAsia="Times New Roman" w:cs="Times New Roman"/>
          <w:color w:val="000000" w:themeColor="text1"/>
          <w:sz w:val="28"/>
          <w:szCs w:val="28"/>
        </w:rPr>
        <w:t>P</w:t>
      </w:r>
      <w:r w:rsidR="00CB4848" w:rsidRPr="00EC28E1">
        <w:rPr>
          <w:rFonts w:eastAsia="Times New Roman" w:cs="Times New Roman"/>
          <w:color w:val="000000" w:themeColor="text1"/>
          <w:sz w:val="28"/>
          <w:szCs w:val="28"/>
        </w:rPr>
        <w:t>WS “Mold-Alert”.</w:t>
      </w:r>
    </w:p>
    <w:p w14:paraId="184F7A4D" w14:textId="43B49CE5" w:rsidR="00CB4848" w:rsidRPr="00EC28E1" w:rsidRDefault="00E9499E" w:rsidP="00CB4848">
      <w:pPr>
        <w:numPr>
          <w:ilvl w:val="1"/>
          <w:numId w:val="1"/>
        </w:numPr>
        <w:pBdr>
          <w:top w:val="nil"/>
          <w:left w:val="nil"/>
          <w:bottom w:val="nil"/>
          <w:right w:val="nil"/>
          <w:between w:val="nil"/>
        </w:pBdr>
        <w:tabs>
          <w:tab w:val="left" w:pos="1276"/>
        </w:tabs>
        <w:ind w:left="0" w:firstLine="567"/>
        <w:jc w:val="both"/>
        <w:rPr>
          <w:rFonts w:eastAsia="Times New Roman" w:cs="Times New Roman"/>
          <w:color w:val="000000" w:themeColor="text1"/>
          <w:sz w:val="28"/>
          <w:szCs w:val="28"/>
          <w:lang w:val="en-GB"/>
        </w:rPr>
      </w:pPr>
      <w:r>
        <w:rPr>
          <w:rFonts w:eastAsia="Times New Roman" w:cs="Times New Roman"/>
          <w:color w:val="000000" w:themeColor="text1"/>
          <w:sz w:val="28"/>
          <w:szCs w:val="28"/>
        </w:rPr>
        <w:t>D</w:t>
      </w:r>
      <w:r w:rsidRPr="00EC28E1">
        <w:rPr>
          <w:rFonts w:eastAsia="Times New Roman" w:cs="Times New Roman"/>
          <w:color w:val="000000" w:themeColor="text1"/>
          <w:sz w:val="28"/>
          <w:szCs w:val="28"/>
        </w:rPr>
        <w:t>ocumentation will be prepared into English and Romanian</w:t>
      </w:r>
      <w:r>
        <w:rPr>
          <w:rFonts w:eastAsia="Times New Roman" w:cs="Times New Roman"/>
          <w:color w:val="000000" w:themeColor="text1"/>
          <w:sz w:val="28"/>
          <w:szCs w:val="28"/>
        </w:rPr>
        <w:t>.</w:t>
      </w:r>
    </w:p>
    <w:sectPr w:rsidR="00CB4848" w:rsidRPr="00EC28E1" w:rsidSect="004637F5">
      <w:pgSz w:w="12240" w:h="15840"/>
      <w:pgMar w:top="992"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49AE"/>
    <w:multiLevelType w:val="hybridMultilevel"/>
    <w:tmpl w:val="42700F68"/>
    <w:lvl w:ilvl="0" w:tplc="0F405C72">
      <w:start w:val="1"/>
      <w:numFmt w:val="decimal"/>
      <w:lvlText w:val="%1)"/>
      <w:lvlJc w:val="left"/>
      <w:pPr>
        <w:ind w:left="1789" w:hanging="360"/>
      </w:pPr>
      <w:rPr>
        <w:rFonts w:hint="default"/>
        <w:b w:val="0"/>
      </w:rPr>
    </w:lvl>
    <w:lvl w:ilvl="1" w:tplc="E7843DBC" w:tentative="1">
      <w:start w:val="1"/>
      <w:numFmt w:val="lowerLetter"/>
      <w:lvlText w:val="%2."/>
      <w:lvlJc w:val="left"/>
      <w:pPr>
        <w:ind w:left="2509" w:hanging="360"/>
      </w:pPr>
    </w:lvl>
    <w:lvl w:ilvl="2" w:tplc="DD4C65B4" w:tentative="1">
      <w:start w:val="1"/>
      <w:numFmt w:val="lowerRoman"/>
      <w:lvlText w:val="%3."/>
      <w:lvlJc w:val="right"/>
      <w:pPr>
        <w:ind w:left="3229" w:hanging="180"/>
      </w:pPr>
    </w:lvl>
    <w:lvl w:ilvl="3" w:tplc="0B3C80A4" w:tentative="1">
      <w:start w:val="1"/>
      <w:numFmt w:val="decimal"/>
      <w:lvlText w:val="%4."/>
      <w:lvlJc w:val="left"/>
      <w:pPr>
        <w:ind w:left="3949" w:hanging="360"/>
      </w:pPr>
    </w:lvl>
    <w:lvl w:ilvl="4" w:tplc="92100448" w:tentative="1">
      <w:start w:val="1"/>
      <w:numFmt w:val="lowerLetter"/>
      <w:lvlText w:val="%5."/>
      <w:lvlJc w:val="left"/>
      <w:pPr>
        <w:ind w:left="4669" w:hanging="360"/>
      </w:pPr>
    </w:lvl>
    <w:lvl w:ilvl="5" w:tplc="B8CAAB9C" w:tentative="1">
      <w:start w:val="1"/>
      <w:numFmt w:val="lowerRoman"/>
      <w:lvlText w:val="%6."/>
      <w:lvlJc w:val="right"/>
      <w:pPr>
        <w:ind w:left="5389" w:hanging="180"/>
      </w:pPr>
    </w:lvl>
    <w:lvl w:ilvl="6" w:tplc="EB6E7BF6" w:tentative="1">
      <w:start w:val="1"/>
      <w:numFmt w:val="decimal"/>
      <w:lvlText w:val="%7."/>
      <w:lvlJc w:val="left"/>
      <w:pPr>
        <w:ind w:left="6109" w:hanging="360"/>
      </w:pPr>
    </w:lvl>
    <w:lvl w:ilvl="7" w:tplc="0B24A852" w:tentative="1">
      <w:start w:val="1"/>
      <w:numFmt w:val="lowerLetter"/>
      <w:lvlText w:val="%8."/>
      <w:lvlJc w:val="left"/>
      <w:pPr>
        <w:ind w:left="6829" w:hanging="360"/>
      </w:pPr>
    </w:lvl>
    <w:lvl w:ilvl="8" w:tplc="019409AA" w:tentative="1">
      <w:start w:val="1"/>
      <w:numFmt w:val="lowerRoman"/>
      <w:lvlText w:val="%9."/>
      <w:lvlJc w:val="right"/>
      <w:pPr>
        <w:ind w:left="7549" w:hanging="180"/>
      </w:pPr>
    </w:lvl>
  </w:abstractNum>
  <w:abstractNum w:abstractNumId="1" w15:restartNumberingAfterBreak="0">
    <w:nsid w:val="232B5112"/>
    <w:multiLevelType w:val="hybridMultilevel"/>
    <w:tmpl w:val="FEF498E6"/>
    <w:lvl w:ilvl="0" w:tplc="44C0D6F2">
      <w:start w:val="1"/>
      <w:numFmt w:val="upperLetter"/>
      <w:lvlText w:val="%1."/>
      <w:lvlJc w:val="left"/>
      <w:pPr>
        <w:ind w:left="1789" w:hanging="360"/>
      </w:pPr>
      <w:rPr>
        <w:rFonts w:hint="default"/>
        <w:b/>
      </w:rPr>
    </w:lvl>
    <w:lvl w:ilvl="1" w:tplc="9B2080E2" w:tentative="1">
      <w:start w:val="1"/>
      <w:numFmt w:val="lowerLetter"/>
      <w:lvlText w:val="%2."/>
      <w:lvlJc w:val="left"/>
      <w:pPr>
        <w:ind w:left="2509" w:hanging="360"/>
      </w:pPr>
    </w:lvl>
    <w:lvl w:ilvl="2" w:tplc="D1D2E39E" w:tentative="1">
      <w:start w:val="1"/>
      <w:numFmt w:val="lowerRoman"/>
      <w:lvlText w:val="%3."/>
      <w:lvlJc w:val="right"/>
      <w:pPr>
        <w:ind w:left="3229" w:hanging="180"/>
      </w:pPr>
    </w:lvl>
    <w:lvl w:ilvl="3" w:tplc="C8D04764" w:tentative="1">
      <w:start w:val="1"/>
      <w:numFmt w:val="decimal"/>
      <w:lvlText w:val="%4."/>
      <w:lvlJc w:val="left"/>
      <w:pPr>
        <w:ind w:left="3949" w:hanging="360"/>
      </w:pPr>
    </w:lvl>
    <w:lvl w:ilvl="4" w:tplc="1422E02A" w:tentative="1">
      <w:start w:val="1"/>
      <w:numFmt w:val="lowerLetter"/>
      <w:lvlText w:val="%5."/>
      <w:lvlJc w:val="left"/>
      <w:pPr>
        <w:ind w:left="4669" w:hanging="360"/>
      </w:pPr>
    </w:lvl>
    <w:lvl w:ilvl="5" w:tplc="67662D10" w:tentative="1">
      <w:start w:val="1"/>
      <w:numFmt w:val="lowerRoman"/>
      <w:lvlText w:val="%6."/>
      <w:lvlJc w:val="right"/>
      <w:pPr>
        <w:ind w:left="5389" w:hanging="180"/>
      </w:pPr>
    </w:lvl>
    <w:lvl w:ilvl="6" w:tplc="217E4982" w:tentative="1">
      <w:start w:val="1"/>
      <w:numFmt w:val="decimal"/>
      <w:lvlText w:val="%7."/>
      <w:lvlJc w:val="left"/>
      <w:pPr>
        <w:ind w:left="6109" w:hanging="360"/>
      </w:pPr>
    </w:lvl>
    <w:lvl w:ilvl="7" w:tplc="84ECD97C" w:tentative="1">
      <w:start w:val="1"/>
      <w:numFmt w:val="lowerLetter"/>
      <w:lvlText w:val="%8."/>
      <w:lvlJc w:val="left"/>
      <w:pPr>
        <w:ind w:left="6829" w:hanging="360"/>
      </w:pPr>
    </w:lvl>
    <w:lvl w:ilvl="8" w:tplc="F7760186" w:tentative="1">
      <w:start w:val="1"/>
      <w:numFmt w:val="lowerRoman"/>
      <w:lvlText w:val="%9."/>
      <w:lvlJc w:val="right"/>
      <w:pPr>
        <w:ind w:left="7549" w:hanging="180"/>
      </w:pPr>
    </w:lvl>
  </w:abstractNum>
  <w:abstractNum w:abstractNumId="2" w15:restartNumberingAfterBreak="0">
    <w:nsid w:val="2C503D0B"/>
    <w:multiLevelType w:val="hybridMultilevel"/>
    <w:tmpl w:val="6C42A8E8"/>
    <w:lvl w:ilvl="0" w:tplc="D040AA5A">
      <w:start w:val="1"/>
      <w:numFmt w:val="decimal"/>
      <w:lvlText w:val="%1)"/>
      <w:lvlJc w:val="left"/>
      <w:pPr>
        <w:ind w:left="1789" w:hanging="360"/>
      </w:pPr>
      <w:rPr>
        <w:rFonts w:hint="default"/>
        <w:b w:val="0"/>
      </w:rPr>
    </w:lvl>
    <w:lvl w:ilvl="1" w:tplc="CAD6F7E4" w:tentative="1">
      <w:start w:val="1"/>
      <w:numFmt w:val="lowerLetter"/>
      <w:lvlText w:val="%2."/>
      <w:lvlJc w:val="left"/>
      <w:pPr>
        <w:ind w:left="2509" w:hanging="360"/>
      </w:pPr>
    </w:lvl>
    <w:lvl w:ilvl="2" w:tplc="A984C1C2" w:tentative="1">
      <w:start w:val="1"/>
      <w:numFmt w:val="lowerRoman"/>
      <w:lvlText w:val="%3."/>
      <w:lvlJc w:val="right"/>
      <w:pPr>
        <w:ind w:left="3229" w:hanging="180"/>
      </w:pPr>
    </w:lvl>
    <w:lvl w:ilvl="3" w:tplc="D094758E" w:tentative="1">
      <w:start w:val="1"/>
      <w:numFmt w:val="decimal"/>
      <w:lvlText w:val="%4."/>
      <w:lvlJc w:val="left"/>
      <w:pPr>
        <w:ind w:left="3949" w:hanging="360"/>
      </w:pPr>
    </w:lvl>
    <w:lvl w:ilvl="4" w:tplc="5232C810" w:tentative="1">
      <w:start w:val="1"/>
      <w:numFmt w:val="lowerLetter"/>
      <w:lvlText w:val="%5."/>
      <w:lvlJc w:val="left"/>
      <w:pPr>
        <w:ind w:left="4669" w:hanging="360"/>
      </w:pPr>
    </w:lvl>
    <w:lvl w:ilvl="5" w:tplc="9D30D850" w:tentative="1">
      <w:start w:val="1"/>
      <w:numFmt w:val="lowerRoman"/>
      <w:lvlText w:val="%6."/>
      <w:lvlJc w:val="right"/>
      <w:pPr>
        <w:ind w:left="5389" w:hanging="180"/>
      </w:pPr>
    </w:lvl>
    <w:lvl w:ilvl="6" w:tplc="1AC69D64" w:tentative="1">
      <w:start w:val="1"/>
      <w:numFmt w:val="decimal"/>
      <w:lvlText w:val="%7."/>
      <w:lvlJc w:val="left"/>
      <w:pPr>
        <w:ind w:left="6109" w:hanging="360"/>
      </w:pPr>
    </w:lvl>
    <w:lvl w:ilvl="7" w:tplc="9CBC7444" w:tentative="1">
      <w:start w:val="1"/>
      <w:numFmt w:val="lowerLetter"/>
      <w:lvlText w:val="%8."/>
      <w:lvlJc w:val="left"/>
      <w:pPr>
        <w:ind w:left="6829" w:hanging="360"/>
      </w:pPr>
    </w:lvl>
    <w:lvl w:ilvl="8" w:tplc="BE8ECC3C" w:tentative="1">
      <w:start w:val="1"/>
      <w:numFmt w:val="lowerRoman"/>
      <w:lvlText w:val="%9."/>
      <w:lvlJc w:val="right"/>
      <w:pPr>
        <w:ind w:left="7549" w:hanging="180"/>
      </w:pPr>
    </w:lvl>
  </w:abstractNum>
  <w:abstractNum w:abstractNumId="3" w15:restartNumberingAfterBreak="0">
    <w:nsid w:val="33EA57B7"/>
    <w:multiLevelType w:val="multilevel"/>
    <w:tmpl w:val="83AA9A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9634A21"/>
    <w:multiLevelType w:val="hybridMultilevel"/>
    <w:tmpl w:val="05643A22"/>
    <w:lvl w:ilvl="0" w:tplc="85ACB526">
      <w:start w:val="1"/>
      <w:numFmt w:val="decimal"/>
      <w:lvlText w:val="%1)"/>
      <w:lvlJc w:val="left"/>
      <w:pPr>
        <w:ind w:left="1785" w:hanging="360"/>
      </w:pPr>
      <w:rPr>
        <w:rFonts w:hint="default"/>
      </w:rPr>
    </w:lvl>
    <w:lvl w:ilvl="1" w:tplc="F99EB8A4" w:tentative="1">
      <w:start w:val="1"/>
      <w:numFmt w:val="lowerLetter"/>
      <w:lvlText w:val="%2."/>
      <w:lvlJc w:val="left"/>
      <w:pPr>
        <w:ind w:left="2505" w:hanging="360"/>
      </w:pPr>
    </w:lvl>
    <w:lvl w:ilvl="2" w:tplc="F39091BC" w:tentative="1">
      <w:start w:val="1"/>
      <w:numFmt w:val="lowerRoman"/>
      <w:lvlText w:val="%3."/>
      <w:lvlJc w:val="right"/>
      <w:pPr>
        <w:ind w:left="3225" w:hanging="180"/>
      </w:pPr>
    </w:lvl>
    <w:lvl w:ilvl="3" w:tplc="616E0F48" w:tentative="1">
      <w:start w:val="1"/>
      <w:numFmt w:val="decimal"/>
      <w:lvlText w:val="%4."/>
      <w:lvlJc w:val="left"/>
      <w:pPr>
        <w:ind w:left="3945" w:hanging="360"/>
      </w:pPr>
    </w:lvl>
    <w:lvl w:ilvl="4" w:tplc="BB2652DE" w:tentative="1">
      <w:start w:val="1"/>
      <w:numFmt w:val="lowerLetter"/>
      <w:lvlText w:val="%5."/>
      <w:lvlJc w:val="left"/>
      <w:pPr>
        <w:ind w:left="4665" w:hanging="360"/>
      </w:pPr>
    </w:lvl>
    <w:lvl w:ilvl="5" w:tplc="8ECEF422" w:tentative="1">
      <w:start w:val="1"/>
      <w:numFmt w:val="lowerRoman"/>
      <w:lvlText w:val="%6."/>
      <w:lvlJc w:val="right"/>
      <w:pPr>
        <w:ind w:left="5385" w:hanging="180"/>
      </w:pPr>
    </w:lvl>
    <w:lvl w:ilvl="6" w:tplc="79368468" w:tentative="1">
      <w:start w:val="1"/>
      <w:numFmt w:val="decimal"/>
      <w:lvlText w:val="%7."/>
      <w:lvlJc w:val="left"/>
      <w:pPr>
        <w:ind w:left="6105" w:hanging="360"/>
      </w:pPr>
    </w:lvl>
    <w:lvl w:ilvl="7" w:tplc="F4FCEA54" w:tentative="1">
      <w:start w:val="1"/>
      <w:numFmt w:val="lowerLetter"/>
      <w:lvlText w:val="%8."/>
      <w:lvlJc w:val="left"/>
      <w:pPr>
        <w:ind w:left="6825" w:hanging="360"/>
      </w:pPr>
    </w:lvl>
    <w:lvl w:ilvl="8" w:tplc="4EF0AFF8" w:tentative="1">
      <w:start w:val="1"/>
      <w:numFmt w:val="lowerRoman"/>
      <w:lvlText w:val="%9."/>
      <w:lvlJc w:val="right"/>
      <w:pPr>
        <w:ind w:left="7545" w:hanging="180"/>
      </w:pPr>
    </w:lvl>
  </w:abstractNum>
  <w:abstractNum w:abstractNumId="5" w15:restartNumberingAfterBreak="0">
    <w:nsid w:val="46671D3A"/>
    <w:multiLevelType w:val="multilevel"/>
    <w:tmpl w:val="1E4C98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2D61FF5"/>
    <w:multiLevelType w:val="multilevel"/>
    <w:tmpl w:val="51E67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BB5C62"/>
    <w:multiLevelType w:val="multilevel"/>
    <w:tmpl w:val="7922990A"/>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314490"/>
    <w:multiLevelType w:val="hybridMultilevel"/>
    <w:tmpl w:val="4B1E3D1E"/>
    <w:lvl w:ilvl="0" w:tplc="7632C13C">
      <w:start w:val="1"/>
      <w:numFmt w:val="lowerLetter"/>
      <w:lvlText w:val="%1)"/>
      <w:lvlJc w:val="left"/>
      <w:pPr>
        <w:ind w:left="1782" w:hanging="360"/>
      </w:pPr>
      <w:rPr>
        <w:rFonts w:hint="default"/>
      </w:rPr>
    </w:lvl>
    <w:lvl w:ilvl="1" w:tplc="B6A69F0A" w:tentative="1">
      <w:start w:val="1"/>
      <w:numFmt w:val="lowerLetter"/>
      <w:lvlText w:val="%2."/>
      <w:lvlJc w:val="left"/>
      <w:pPr>
        <w:ind w:left="2502" w:hanging="360"/>
      </w:pPr>
    </w:lvl>
    <w:lvl w:ilvl="2" w:tplc="D6CA7D86" w:tentative="1">
      <w:start w:val="1"/>
      <w:numFmt w:val="lowerRoman"/>
      <w:lvlText w:val="%3."/>
      <w:lvlJc w:val="right"/>
      <w:pPr>
        <w:ind w:left="3222" w:hanging="180"/>
      </w:pPr>
    </w:lvl>
    <w:lvl w:ilvl="3" w:tplc="FCA031B2" w:tentative="1">
      <w:start w:val="1"/>
      <w:numFmt w:val="decimal"/>
      <w:lvlText w:val="%4."/>
      <w:lvlJc w:val="left"/>
      <w:pPr>
        <w:ind w:left="3942" w:hanging="360"/>
      </w:pPr>
    </w:lvl>
    <w:lvl w:ilvl="4" w:tplc="D9308884" w:tentative="1">
      <w:start w:val="1"/>
      <w:numFmt w:val="lowerLetter"/>
      <w:lvlText w:val="%5."/>
      <w:lvlJc w:val="left"/>
      <w:pPr>
        <w:ind w:left="4662" w:hanging="360"/>
      </w:pPr>
    </w:lvl>
    <w:lvl w:ilvl="5" w:tplc="C04E1220" w:tentative="1">
      <w:start w:val="1"/>
      <w:numFmt w:val="lowerRoman"/>
      <w:lvlText w:val="%6."/>
      <w:lvlJc w:val="right"/>
      <w:pPr>
        <w:ind w:left="5382" w:hanging="180"/>
      </w:pPr>
    </w:lvl>
    <w:lvl w:ilvl="6" w:tplc="B18012EC" w:tentative="1">
      <w:start w:val="1"/>
      <w:numFmt w:val="decimal"/>
      <w:lvlText w:val="%7."/>
      <w:lvlJc w:val="left"/>
      <w:pPr>
        <w:ind w:left="6102" w:hanging="360"/>
      </w:pPr>
    </w:lvl>
    <w:lvl w:ilvl="7" w:tplc="697E6802" w:tentative="1">
      <w:start w:val="1"/>
      <w:numFmt w:val="lowerLetter"/>
      <w:lvlText w:val="%8."/>
      <w:lvlJc w:val="left"/>
      <w:pPr>
        <w:ind w:left="6822" w:hanging="360"/>
      </w:pPr>
    </w:lvl>
    <w:lvl w:ilvl="8" w:tplc="79284E1C" w:tentative="1">
      <w:start w:val="1"/>
      <w:numFmt w:val="lowerRoman"/>
      <w:lvlText w:val="%9."/>
      <w:lvlJc w:val="right"/>
      <w:pPr>
        <w:ind w:left="7542" w:hanging="180"/>
      </w:pPr>
    </w:lvl>
  </w:abstractNum>
  <w:abstractNum w:abstractNumId="9" w15:restartNumberingAfterBreak="0">
    <w:nsid w:val="6D367791"/>
    <w:multiLevelType w:val="hybridMultilevel"/>
    <w:tmpl w:val="7B12E35C"/>
    <w:lvl w:ilvl="0" w:tplc="BA92024A">
      <w:start w:val="1"/>
      <w:numFmt w:val="decimal"/>
      <w:lvlText w:val="%1)"/>
      <w:lvlJc w:val="left"/>
      <w:pPr>
        <w:ind w:left="1004" w:hanging="360"/>
      </w:pPr>
      <w:rPr>
        <w:rFonts w:hint="default"/>
        <w:b w:val="0"/>
        <w:i w:val="0"/>
        <w:sz w:val="28"/>
      </w:rPr>
    </w:lvl>
    <w:lvl w:ilvl="1" w:tplc="4EAA3916" w:tentative="1">
      <w:start w:val="1"/>
      <w:numFmt w:val="lowerLetter"/>
      <w:lvlText w:val="%2."/>
      <w:lvlJc w:val="left"/>
      <w:pPr>
        <w:ind w:left="1724" w:hanging="360"/>
      </w:pPr>
    </w:lvl>
    <w:lvl w:ilvl="2" w:tplc="89D2CF18" w:tentative="1">
      <w:start w:val="1"/>
      <w:numFmt w:val="lowerRoman"/>
      <w:lvlText w:val="%3."/>
      <w:lvlJc w:val="right"/>
      <w:pPr>
        <w:ind w:left="2444" w:hanging="180"/>
      </w:pPr>
    </w:lvl>
    <w:lvl w:ilvl="3" w:tplc="822AE5F4" w:tentative="1">
      <w:start w:val="1"/>
      <w:numFmt w:val="decimal"/>
      <w:lvlText w:val="%4."/>
      <w:lvlJc w:val="left"/>
      <w:pPr>
        <w:ind w:left="3164" w:hanging="360"/>
      </w:pPr>
    </w:lvl>
    <w:lvl w:ilvl="4" w:tplc="6180D030" w:tentative="1">
      <w:start w:val="1"/>
      <w:numFmt w:val="lowerLetter"/>
      <w:lvlText w:val="%5."/>
      <w:lvlJc w:val="left"/>
      <w:pPr>
        <w:ind w:left="3884" w:hanging="360"/>
      </w:pPr>
    </w:lvl>
    <w:lvl w:ilvl="5" w:tplc="3BF47FAC" w:tentative="1">
      <w:start w:val="1"/>
      <w:numFmt w:val="lowerRoman"/>
      <w:lvlText w:val="%6."/>
      <w:lvlJc w:val="right"/>
      <w:pPr>
        <w:ind w:left="4604" w:hanging="180"/>
      </w:pPr>
    </w:lvl>
    <w:lvl w:ilvl="6" w:tplc="6EE47C26" w:tentative="1">
      <w:start w:val="1"/>
      <w:numFmt w:val="decimal"/>
      <w:lvlText w:val="%7."/>
      <w:lvlJc w:val="left"/>
      <w:pPr>
        <w:ind w:left="5324" w:hanging="360"/>
      </w:pPr>
    </w:lvl>
    <w:lvl w:ilvl="7" w:tplc="1FCC3054" w:tentative="1">
      <w:start w:val="1"/>
      <w:numFmt w:val="lowerLetter"/>
      <w:lvlText w:val="%8."/>
      <w:lvlJc w:val="left"/>
      <w:pPr>
        <w:ind w:left="6044" w:hanging="360"/>
      </w:pPr>
    </w:lvl>
    <w:lvl w:ilvl="8" w:tplc="50A6831C" w:tentative="1">
      <w:start w:val="1"/>
      <w:numFmt w:val="lowerRoman"/>
      <w:lvlText w:val="%9."/>
      <w:lvlJc w:val="right"/>
      <w:pPr>
        <w:ind w:left="6764" w:hanging="180"/>
      </w:pPr>
    </w:lvl>
  </w:abstractNum>
  <w:abstractNum w:abstractNumId="10" w15:restartNumberingAfterBreak="0">
    <w:nsid w:val="78C72BBD"/>
    <w:multiLevelType w:val="multilevel"/>
    <w:tmpl w:val="1E4C98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A4C0A60"/>
    <w:multiLevelType w:val="multilevel"/>
    <w:tmpl w:val="8C9EEA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B4E317C"/>
    <w:multiLevelType w:val="hybridMultilevel"/>
    <w:tmpl w:val="EE5CE972"/>
    <w:lvl w:ilvl="0" w:tplc="E438F8BC">
      <w:start w:val="1"/>
      <w:numFmt w:val="lowerLetter"/>
      <w:lvlText w:val="%1)"/>
      <w:lvlJc w:val="left"/>
      <w:pPr>
        <w:ind w:left="1069" w:hanging="360"/>
      </w:pPr>
      <w:rPr>
        <w:rFonts w:hint="default"/>
      </w:rPr>
    </w:lvl>
    <w:lvl w:ilvl="1" w:tplc="D84EA40E" w:tentative="1">
      <w:start w:val="1"/>
      <w:numFmt w:val="lowerLetter"/>
      <w:lvlText w:val="%2."/>
      <w:lvlJc w:val="left"/>
      <w:pPr>
        <w:ind w:left="1789" w:hanging="360"/>
      </w:pPr>
    </w:lvl>
    <w:lvl w:ilvl="2" w:tplc="49781422" w:tentative="1">
      <w:start w:val="1"/>
      <w:numFmt w:val="lowerRoman"/>
      <w:lvlText w:val="%3."/>
      <w:lvlJc w:val="right"/>
      <w:pPr>
        <w:ind w:left="2509" w:hanging="180"/>
      </w:pPr>
    </w:lvl>
    <w:lvl w:ilvl="3" w:tplc="BB204A66" w:tentative="1">
      <w:start w:val="1"/>
      <w:numFmt w:val="decimal"/>
      <w:lvlText w:val="%4."/>
      <w:lvlJc w:val="left"/>
      <w:pPr>
        <w:ind w:left="3229" w:hanging="360"/>
      </w:pPr>
    </w:lvl>
    <w:lvl w:ilvl="4" w:tplc="8C6C7DF6" w:tentative="1">
      <w:start w:val="1"/>
      <w:numFmt w:val="lowerLetter"/>
      <w:lvlText w:val="%5."/>
      <w:lvlJc w:val="left"/>
      <w:pPr>
        <w:ind w:left="3949" w:hanging="360"/>
      </w:pPr>
    </w:lvl>
    <w:lvl w:ilvl="5" w:tplc="C458F214" w:tentative="1">
      <w:start w:val="1"/>
      <w:numFmt w:val="lowerRoman"/>
      <w:lvlText w:val="%6."/>
      <w:lvlJc w:val="right"/>
      <w:pPr>
        <w:ind w:left="4669" w:hanging="180"/>
      </w:pPr>
    </w:lvl>
    <w:lvl w:ilvl="6" w:tplc="909A01DE" w:tentative="1">
      <w:start w:val="1"/>
      <w:numFmt w:val="decimal"/>
      <w:lvlText w:val="%7."/>
      <w:lvlJc w:val="left"/>
      <w:pPr>
        <w:ind w:left="5389" w:hanging="360"/>
      </w:pPr>
    </w:lvl>
    <w:lvl w:ilvl="7" w:tplc="FA621DE2" w:tentative="1">
      <w:start w:val="1"/>
      <w:numFmt w:val="lowerLetter"/>
      <w:lvlText w:val="%8."/>
      <w:lvlJc w:val="left"/>
      <w:pPr>
        <w:ind w:left="6109" w:hanging="360"/>
      </w:pPr>
    </w:lvl>
    <w:lvl w:ilvl="8" w:tplc="DE90B514" w:tentative="1">
      <w:start w:val="1"/>
      <w:numFmt w:val="lowerRoman"/>
      <w:lvlText w:val="%9."/>
      <w:lvlJc w:val="right"/>
      <w:pPr>
        <w:ind w:left="6829" w:hanging="180"/>
      </w:pPr>
    </w:lvl>
  </w:abstractNum>
  <w:num w:numId="1" w16cid:durableId="180245386">
    <w:abstractNumId w:val="7"/>
  </w:num>
  <w:num w:numId="2" w16cid:durableId="266929843">
    <w:abstractNumId w:val="11"/>
  </w:num>
  <w:num w:numId="3" w16cid:durableId="1991321792">
    <w:abstractNumId w:val="9"/>
  </w:num>
  <w:num w:numId="4" w16cid:durableId="1721779656">
    <w:abstractNumId w:val="8"/>
  </w:num>
  <w:num w:numId="5" w16cid:durableId="347685985">
    <w:abstractNumId w:val="1"/>
  </w:num>
  <w:num w:numId="6" w16cid:durableId="1518469403">
    <w:abstractNumId w:val="4"/>
  </w:num>
  <w:num w:numId="7" w16cid:durableId="468671039">
    <w:abstractNumId w:val="2"/>
  </w:num>
  <w:num w:numId="8" w16cid:durableId="961111388">
    <w:abstractNumId w:val="0"/>
  </w:num>
  <w:num w:numId="9" w16cid:durableId="1216158143">
    <w:abstractNumId w:val="12"/>
  </w:num>
  <w:num w:numId="10" w16cid:durableId="344554189">
    <w:abstractNumId w:val="3"/>
  </w:num>
  <w:num w:numId="11" w16cid:durableId="705257706">
    <w:abstractNumId w:val="6"/>
  </w:num>
  <w:num w:numId="12" w16cid:durableId="1857962654">
    <w:abstractNumId w:val="10"/>
  </w:num>
  <w:num w:numId="13" w16cid:durableId="134593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71"/>
    <w:rsid w:val="0006344A"/>
    <w:rsid w:val="001C7704"/>
    <w:rsid w:val="002A1571"/>
    <w:rsid w:val="004637F5"/>
    <w:rsid w:val="004B46E8"/>
    <w:rsid w:val="00507471"/>
    <w:rsid w:val="00636084"/>
    <w:rsid w:val="008154DC"/>
    <w:rsid w:val="00831F4D"/>
    <w:rsid w:val="0088719D"/>
    <w:rsid w:val="00CB4848"/>
    <w:rsid w:val="00E94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4152"/>
  <w15:chartTrackingRefBased/>
  <w15:docId w15:val="{D6A455F1-E6B0-44C8-9181-50FFA319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848"/>
    <w:pPr>
      <w:spacing w:after="0" w:line="240" w:lineRule="auto"/>
    </w:pPr>
    <w:rPr>
      <w:rFonts w:ascii="Times New Roman" w:hAnsi="Times New Roman"/>
      <w:kern w:val="0"/>
      <w:sz w:val="24"/>
      <w:lang w:val="en-US"/>
      <w14:ligatures w14:val="none"/>
    </w:rPr>
  </w:style>
  <w:style w:type="paragraph" w:styleId="1">
    <w:name w:val="heading 1"/>
    <w:basedOn w:val="a"/>
    <w:next w:val="a"/>
    <w:link w:val="10"/>
    <w:uiPriority w:val="9"/>
    <w:qFormat/>
    <w:rsid w:val="00CB48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848"/>
    <w:pPr>
      <w:ind w:left="720"/>
      <w:contextualSpacing/>
    </w:pPr>
  </w:style>
  <w:style w:type="table" w:customStyle="1" w:styleId="11">
    <w:name w:val="1"/>
    <w:basedOn w:val="a1"/>
    <w:rsid w:val="00CB4848"/>
    <w:pPr>
      <w:spacing w:after="0" w:line="240" w:lineRule="auto"/>
      <w:ind w:left="425" w:firstLine="345"/>
    </w:pPr>
    <w:rPr>
      <w:rFonts w:ascii="Arial" w:eastAsia="Arial" w:hAnsi="Arial" w:cs="Arial"/>
      <w:color w:val="0D0D0D"/>
      <w:kern w:val="0"/>
      <w:sz w:val="24"/>
      <w:szCs w:val="24"/>
      <w:highlight w:val="white"/>
      <w:lang w:val="ro-RO"/>
      <w14:ligatures w14:val="none"/>
    </w:rPr>
    <w:tblPr>
      <w:tblStyleRowBandSize w:val="1"/>
      <w:tblStyleColBandSize w:val="1"/>
    </w:tblPr>
  </w:style>
  <w:style w:type="character" w:customStyle="1" w:styleId="10">
    <w:name w:val="Заголовок 1 Знак"/>
    <w:basedOn w:val="a0"/>
    <w:link w:val="1"/>
    <w:uiPriority w:val="9"/>
    <w:rsid w:val="00CB4848"/>
    <w:rPr>
      <w:rFonts w:asciiTheme="majorHAnsi" w:eastAsiaTheme="majorEastAsia" w:hAnsiTheme="majorHAnsi" w:cstheme="majorBidi"/>
      <w:color w:val="2F5496" w:themeColor="accent1" w:themeShade="BF"/>
      <w:kern w:val="0"/>
      <w:sz w:val="32"/>
      <w:szCs w:val="32"/>
      <w:lang w:val="en-US"/>
      <w14:ligatures w14:val="none"/>
    </w:rPr>
  </w:style>
  <w:style w:type="paragraph" w:styleId="a4">
    <w:name w:val="TOC Heading"/>
    <w:basedOn w:val="1"/>
    <w:next w:val="a"/>
    <w:uiPriority w:val="39"/>
    <w:unhideWhenUsed/>
    <w:qFormat/>
    <w:rsid w:val="00CB4848"/>
    <w:pPr>
      <w:spacing w:line="259" w:lineRule="auto"/>
      <w:outlineLvl w:val="9"/>
    </w:pPr>
  </w:style>
  <w:style w:type="paragraph" w:styleId="12">
    <w:name w:val="toc 1"/>
    <w:basedOn w:val="a"/>
    <w:next w:val="a"/>
    <w:autoRedefine/>
    <w:uiPriority w:val="39"/>
    <w:unhideWhenUsed/>
    <w:rsid w:val="00CB4848"/>
    <w:pPr>
      <w:spacing w:after="100"/>
    </w:pPr>
  </w:style>
  <w:style w:type="character" w:styleId="a5">
    <w:name w:val="Hyperlink"/>
    <w:basedOn w:val="a0"/>
    <w:uiPriority w:val="99"/>
    <w:unhideWhenUsed/>
    <w:rsid w:val="00CB4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ission.europa.eu/strategy-and-policy/eu-budget/how-it-works/annual-lifecycle/implementation/anti-fraud-measures/edes/edes-database_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nder.gov.md/ro/lista-de-interdictie" TargetMode="External"/><Relationship Id="rId5" Type="http://schemas.openxmlformats.org/officeDocument/2006/relationships/hyperlink" Target="https://tender.gov.md/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4649</Words>
  <Characters>26505</Characters>
  <Application>Microsoft Office Word</Application>
  <DocSecurity>0</DocSecurity>
  <Lines>220</Lines>
  <Paragraphs>62</Paragraphs>
  <ScaleCrop>false</ScaleCrop>
  <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TIC04</cp:lastModifiedBy>
  <cp:revision>8</cp:revision>
  <cp:lastPrinted>2024-04-29T12:16:00Z</cp:lastPrinted>
  <dcterms:created xsi:type="dcterms:W3CDTF">2024-04-29T12:01:00Z</dcterms:created>
  <dcterms:modified xsi:type="dcterms:W3CDTF">2024-06-03T11:11:00Z</dcterms:modified>
</cp:coreProperties>
</file>