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0"/>
          <w:szCs w:val="20"/>
          <w:vertAlign w:val="baseline"/>
        </w:rPr>
      </w:pPr>
      <w:r w:rsidDel="00000000" w:rsidR="00000000" w:rsidRPr="00000000">
        <w:rPr>
          <w:sz w:val="20"/>
          <w:szCs w:val="20"/>
          <w:vertAlign w:val="baseline"/>
          <w:rtl w:val="0"/>
        </w:rPr>
        <w:t xml:space="preserve">Public document to be completed by the Contracting Authority </w:t>
      </w:r>
    </w:p>
    <w:p w:rsidR="00000000" w:rsidDel="00000000" w:rsidP="00000000" w:rsidRDefault="00000000" w:rsidRPr="00000000" w14:paraId="00000002">
      <w:pPr>
        <w:jc w:val="center"/>
        <w:rPr>
          <w:b w:val="0"/>
          <w:sz w:val="28"/>
          <w:szCs w:val="28"/>
          <w:vertAlign w:val="baseline"/>
        </w:rPr>
      </w:pPr>
      <w:r w:rsidDel="00000000" w:rsidR="00000000" w:rsidRPr="00000000">
        <w:rPr>
          <w:b w:val="1"/>
          <w:sz w:val="28"/>
          <w:szCs w:val="28"/>
          <w:vertAlign w:val="baseline"/>
          <w:rtl w:val="0"/>
        </w:rPr>
        <w:t xml:space="preserve">SUPPLY CONTRACT NOTICE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25400</wp:posOffset>
                </wp:positionV>
                <wp:extent cx="5943600" cy="22225"/>
                <wp:effectExtent b="0" l="0" r="0" t="0"/>
                <wp:wrapNone/>
                <wp:docPr id="3" name=""/>
                <a:graphic>
                  <a:graphicData uri="http://schemas.microsoft.com/office/word/2010/wordprocessingShape">
                    <wps:wsp>
                      <wps:cNvCnPr/>
                      <wps:spPr>
                        <a:xfrm>
                          <a:off x="2374200" y="3779683"/>
                          <a:ext cx="5943600" cy="635"/>
                        </a:xfrm>
                        <a:prstGeom prst="straightConnector1">
                          <a:avLst/>
                        </a:prstGeom>
                        <a:solidFill>
                          <a:srgbClr val="FFFFFF"/>
                        </a:solidFill>
                        <a:ln cap="flat" cmpd="sng" w="22225">
                          <a:solidFill>
                            <a:srgbClr val="D4D4D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25400</wp:posOffset>
                </wp:positionV>
                <wp:extent cx="5943600" cy="22225"/>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943600" cy="22225"/>
                        </a:xfrm>
                        <a:prstGeom prst="rect"/>
                        <a:ln/>
                      </pic:spPr>
                    </pic:pic>
                  </a:graphicData>
                </a:graphic>
              </wp:anchor>
            </w:drawing>
          </mc:Fallback>
        </mc:AlternateContent>
      </w:r>
    </w:p>
    <w:p w:rsidR="00000000" w:rsidDel="00000000" w:rsidP="00000000" w:rsidRDefault="00000000" w:rsidRPr="00000000" w14:paraId="00000003">
      <w:pPr>
        <w:widowControl w:val="1"/>
        <w:spacing w:after="120" w:before="120" w:lineRule="auto"/>
        <w:jc w:val="center"/>
        <w:rPr>
          <w:b w:val="1"/>
          <w:vertAlign w:val="baseline"/>
        </w:rPr>
      </w:pPr>
      <w:r w:rsidDel="00000000" w:rsidR="00000000" w:rsidRPr="00000000">
        <w:rPr>
          <w:b w:val="1"/>
          <w:sz w:val="20"/>
          <w:szCs w:val="20"/>
          <w:u w:val="single"/>
          <w:rtl w:val="0"/>
        </w:rPr>
        <w:t xml:space="preserve">Supply of Furniture for </w:t>
      </w:r>
      <w:r w:rsidDel="00000000" w:rsidR="00000000" w:rsidRPr="00000000">
        <w:rPr>
          <w:b w:val="1"/>
          <w:sz w:val="20"/>
          <w:szCs w:val="20"/>
          <w:rtl w:val="0"/>
        </w:rPr>
        <w:t xml:space="preserve">Republican Training Center of the General Inspectorate for Emergency Situation of the Ministry of Internal Affairs from Republic of Moldova</w:t>
      </w:r>
      <w:r w:rsidDel="00000000" w:rsidR="00000000" w:rsidRPr="00000000">
        <w:rPr>
          <w:rtl w:val="0"/>
        </w:rPr>
      </w:r>
    </w:p>
    <w:p w:rsidR="00000000" w:rsidDel="00000000" w:rsidP="00000000" w:rsidRDefault="00000000" w:rsidRPr="00000000" w14:paraId="00000004">
      <w:pPr>
        <w:jc w:val="center"/>
        <w:rPr>
          <w:b w:val="0"/>
          <w:sz w:val="22"/>
          <w:szCs w:val="22"/>
          <w:vertAlign w:val="baseline"/>
        </w:rPr>
      </w:pPr>
      <w:r w:rsidDel="00000000" w:rsidR="00000000" w:rsidRPr="00000000">
        <w:rPr>
          <w:b w:val="1"/>
          <w:sz w:val="22"/>
          <w:szCs w:val="22"/>
          <w:vertAlign w:val="baseline"/>
          <w:rtl w:val="0"/>
        </w:rPr>
        <w:t xml:space="preserve">Identification number: 2SOFT/4.2/71/SC-002</w:t>
      </w:r>
      <w:r w:rsidDel="00000000" w:rsidR="00000000" w:rsidRPr="00000000">
        <w:rPr>
          <w:rtl w:val="0"/>
        </w:rPr>
      </w:r>
    </w:p>
    <w:p w:rsidR="00000000" w:rsidDel="00000000" w:rsidP="00000000" w:rsidRDefault="00000000" w:rsidRPr="00000000" w14:paraId="00000005">
      <w:pPr>
        <w:spacing w:after="600" w:lineRule="auto"/>
        <w:jc w:val="center"/>
        <w:rPr>
          <w:b w:val="1"/>
          <w:vertAlign w:val="baseline"/>
        </w:rPr>
      </w:pPr>
      <w:r w:rsidDel="00000000" w:rsidR="00000000" w:rsidRPr="00000000">
        <w:rPr>
          <w:b w:val="1"/>
          <w:vertAlign w:val="baseline"/>
          <w:rtl w:val="0"/>
        </w:rPr>
        <w:t xml:space="preserve">The Republic of Moldova</w:t>
      </w:r>
    </w:p>
    <w:p w:rsidR="00000000" w:rsidDel="00000000" w:rsidP="00000000" w:rsidRDefault="00000000" w:rsidRPr="00000000" w14:paraId="00000006">
      <w:pPr>
        <w:numPr>
          <w:ilvl w:val="0"/>
          <w:numId w:val="2"/>
        </w:numPr>
        <w:ind w:left="709" w:hanging="425"/>
        <w:rPr>
          <w:b w:val="1"/>
          <w:vertAlign w:val="baseline"/>
        </w:rPr>
      </w:pPr>
      <w:r w:rsidDel="00000000" w:rsidR="00000000" w:rsidRPr="00000000">
        <w:rPr>
          <w:b w:val="1"/>
          <w:rtl w:val="0"/>
        </w:rPr>
        <w:t xml:space="preserve">P</w:t>
      </w:r>
      <w:r w:rsidDel="00000000" w:rsidR="00000000" w:rsidRPr="00000000">
        <w:rPr>
          <w:b w:val="1"/>
          <w:vertAlign w:val="baseline"/>
          <w:rtl w:val="0"/>
        </w:rPr>
        <w:t xml:space="preserve">ublication reference</w:t>
      </w:r>
    </w:p>
    <w:p w:rsidR="00000000" w:rsidDel="00000000" w:rsidP="00000000" w:rsidRDefault="00000000" w:rsidRPr="00000000" w14:paraId="00000007">
      <w:pPr>
        <w:ind w:left="709" w:firstLine="0"/>
        <w:rPr>
          <w:sz w:val="22"/>
          <w:szCs w:val="22"/>
          <w:vertAlign w:val="baseline"/>
        </w:rPr>
      </w:pPr>
      <w:r w:rsidDel="00000000" w:rsidR="00000000" w:rsidRPr="00000000">
        <w:rPr>
          <w:sz w:val="22"/>
          <w:szCs w:val="22"/>
          <w:vertAlign w:val="baseline"/>
          <w:rtl w:val="0"/>
        </w:rPr>
        <w:t xml:space="preserve">2SOFT/4.2/71/SC-002</w:t>
      </w:r>
    </w:p>
    <w:p w:rsidR="00000000" w:rsidDel="00000000" w:rsidP="00000000" w:rsidRDefault="00000000" w:rsidRPr="00000000" w14:paraId="00000008">
      <w:pPr>
        <w:numPr>
          <w:ilvl w:val="0"/>
          <w:numId w:val="2"/>
        </w:numPr>
        <w:ind w:left="709" w:hanging="425"/>
        <w:rPr>
          <w:b w:val="1"/>
          <w:vertAlign w:val="baseline"/>
        </w:rPr>
      </w:pPr>
      <w:r w:rsidDel="00000000" w:rsidR="00000000" w:rsidRPr="00000000">
        <w:rPr>
          <w:b w:val="1"/>
          <w:vertAlign w:val="baseline"/>
          <w:rtl w:val="0"/>
        </w:rPr>
        <w:t xml:space="preserve">Procedure</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tabs>
          <w:tab w:val="left" w:pos="709"/>
        </w:tabs>
        <w:spacing w:after="100" w:before="100" w:line="240" w:lineRule="auto"/>
        <w:ind w:left="709"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Single tender</w:t>
      </w:r>
    </w:p>
    <w:p w:rsidR="00000000" w:rsidDel="00000000" w:rsidP="00000000" w:rsidRDefault="00000000" w:rsidRPr="00000000" w14:paraId="0000000A">
      <w:pPr>
        <w:numPr>
          <w:ilvl w:val="0"/>
          <w:numId w:val="2"/>
        </w:numPr>
        <w:ind w:left="709" w:hanging="425"/>
        <w:rPr>
          <w:b w:val="1"/>
          <w:vertAlign w:val="baseline"/>
        </w:rPr>
      </w:pPr>
      <w:r w:rsidDel="00000000" w:rsidR="00000000" w:rsidRPr="00000000">
        <w:rPr>
          <w:b w:val="1"/>
          <w:vertAlign w:val="baseline"/>
          <w:rtl w:val="0"/>
        </w:rPr>
        <w:t xml:space="preserve">Programme title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1364"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Joint Operational Programme Romania – Republic of Moldova 2014 – 2020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numPr>
          <w:ilvl w:val="0"/>
          <w:numId w:val="2"/>
        </w:numPr>
        <w:ind w:left="709" w:hanging="425"/>
        <w:rPr>
          <w:b w:val="1"/>
          <w:vertAlign w:val="baseline"/>
        </w:rPr>
      </w:pPr>
      <w:r w:rsidDel="00000000" w:rsidR="00000000" w:rsidRPr="00000000">
        <w:rPr>
          <w:b w:val="1"/>
          <w:vertAlign w:val="baseline"/>
          <w:rtl w:val="0"/>
        </w:rPr>
        <w:t xml:space="preserve">Financing</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tabs>
          <w:tab w:val="left" w:pos="709"/>
        </w:tabs>
        <w:spacing w:after="100" w:before="100" w:line="240" w:lineRule="auto"/>
        <w:ind w:left="709"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4.2.2.2 Furniture</w:t>
      </w:r>
      <w:r w:rsidDel="00000000" w:rsidR="00000000" w:rsidRPr="00000000">
        <w:rPr>
          <w:rtl w:val="0"/>
        </w:rPr>
      </w:r>
    </w:p>
    <w:p w:rsidR="00000000" w:rsidDel="00000000" w:rsidP="00000000" w:rsidRDefault="00000000" w:rsidRPr="00000000" w14:paraId="0000000E">
      <w:pPr>
        <w:numPr>
          <w:ilvl w:val="0"/>
          <w:numId w:val="2"/>
        </w:numPr>
        <w:ind w:left="709" w:hanging="425"/>
        <w:rPr>
          <w:b w:val="1"/>
          <w:vertAlign w:val="baseline"/>
        </w:rPr>
      </w:pPr>
      <w:r w:rsidDel="00000000" w:rsidR="00000000" w:rsidRPr="00000000">
        <w:rPr>
          <w:b w:val="1"/>
          <w:vertAlign w:val="baseline"/>
          <w:rtl w:val="0"/>
        </w:rPr>
        <w:t xml:space="preserve">Contracting authority</w:t>
      </w:r>
    </w:p>
    <w:p w:rsidR="00000000" w:rsidDel="00000000" w:rsidP="00000000" w:rsidRDefault="00000000" w:rsidRPr="00000000" w14:paraId="0000000F">
      <w:pPr>
        <w:ind w:left="709" w:firstLine="0"/>
        <w:rPr>
          <w:sz w:val="22"/>
          <w:szCs w:val="22"/>
          <w:vertAlign w:val="baseline"/>
        </w:rPr>
      </w:pPr>
      <w:r w:rsidDel="00000000" w:rsidR="00000000" w:rsidRPr="00000000">
        <w:rPr>
          <w:sz w:val="22"/>
          <w:szCs w:val="22"/>
          <w:vertAlign w:val="baseline"/>
          <w:rtl w:val="0"/>
        </w:rPr>
        <w:t xml:space="preserve">Republican Training Center of the General Inspectorate for Emergency Situation of the Ministry of Internal Affairs from Republic of Moldova </w:t>
      </w:r>
    </w:p>
    <w:p w:rsidR="00000000" w:rsidDel="00000000" w:rsidP="00000000" w:rsidRDefault="00000000" w:rsidRPr="00000000" w14:paraId="00000010">
      <w:pPr>
        <w:tabs>
          <w:tab w:val="left" w:pos="1134"/>
        </w:tabs>
        <w:spacing w:after="480" w:lineRule="auto"/>
        <w:ind w:left="709" w:firstLine="0"/>
        <w:rPr>
          <w:i w:val="0"/>
          <w:sz w:val="22"/>
          <w:szCs w:val="22"/>
          <w:highlight w:val="yellow"/>
          <w:vertAlign w:val="baseline"/>
        </w:rPr>
      </w:pPr>
      <w:r w:rsidDel="00000000" w:rsidR="00000000" w:rsidRPr="00000000">
        <w:rPr>
          <w:rtl w:val="0"/>
        </w:rPr>
      </w:r>
    </w:p>
    <w:p w:rsidR="00000000" w:rsidDel="00000000" w:rsidP="00000000" w:rsidRDefault="00000000" w:rsidRPr="00000000" w14:paraId="00000011">
      <w:pPr>
        <w:keepNext w:val="1"/>
        <w:keepLines w:val="1"/>
        <w:widowControl w:val="1"/>
        <w:tabs>
          <w:tab w:val="left" w:pos="1134"/>
        </w:tabs>
        <w:ind w:left="709" w:firstLine="0"/>
        <w:jc w:val="center"/>
        <w:rPr>
          <w:b w:val="1"/>
          <w:sz w:val="28"/>
          <w:szCs w:val="28"/>
          <w:vertAlign w:val="baseline"/>
        </w:rPr>
      </w:pPr>
      <w:r w:rsidDel="00000000" w:rsidR="00000000" w:rsidRPr="00000000">
        <w:rPr>
          <w:b w:val="1"/>
          <w:sz w:val="28"/>
          <w:szCs w:val="28"/>
          <w:vertAlign w:val="baseline"/>
          <w:rtl w:val="0"/>
        </w:rPr>
        <w:t xml:space="preserve">CONTRACT SPECIFICATIONS</w:t>
      </w:r>
    </w:p>
    <w:p w:rsidR="00000000" w:rsidDel="00000000" w:rsidP="00000000" w:rsidRDefault="00000000" w:rsidRPr="00000000" w14:paraId="00000012">
      <w:pPr>
        <w:keepNext w:val="1"/>
        <w:keepLines w:val="1"/>
        <w:widowControl w:val="1"/>
        <w:numPr>
          <w:ilvl w:val="0"/>
          <w:numId w:val="2"/>
        </w:numPr>
        <w:ind w:left="709" w:hanging="425"/>
        <w:rPr>
          <w:b w:val="1"/>
          <w:vertAlign w:val="baseline"/>
        </w:rPr>
      </w:pPr>
      <w:r w:rsidDel="00000000" w:rsidR="00000000" w:rsidRPr="00000000">
        <w:rPr>
          <w:b w:val="1"/>
          <w:vertAlign w:val="baseline"/>
          <w:rtl w:val="0"/>
        </w:rPr>
        <w:t xml:space="preserve">Description of the contract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wp:posOffset>
                </wp:positionH>
                <wp:positionV relativeFrom="paragraph">
                  <wp:posOffset>-380999</wp:posOffset>
                </wp:positionV>
                <wp:extent cx="5943600" cy="22225"/>
                <wp:effectExtent b="0" l="0" r="0" t="0"/>
                <wp:wrapNone/>
                <wp:docPr id="2" name=""/>
                <a:graphic>
                  <a:graphicData uri="http://schemas.microsoft.com/office/word/2010/wordprocessingShape">
                    <wps:wsp>
                      <wps:cNvCnPr/>
                      <wps:spPr>
                        <a:xfrm>
                          <a:off x="2374200" y="3779683"/>
                          <a:ext cx="5943600" cy="635"/>
                        </a:xfrm>
                        <a:prstGeom prst="straightConnector1">
                          <a:avLst/>
                        </a:prstGeom>
                        <a:solidFill>
                          <a:srgbClr val="FFFFFF"/>
                        </a:solidFill>
                        <a:ln cap="flat" cmpd="sng" w="22225">
                          <a:solidFill>
                            <a:srgbClr val="D4D4D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-380999</wp:posOffset>
                </wp:positionV>
                <wp:extent cx="5943600" cy="22225"/>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43600" cy="22225"/>
                        </a:xfrm>
                        <a:prstGeom prst="rect"/>
                        <a:ln/>
                      </pic:spPr>
                    </pic:pic>
                  </a:graphicData>
                </a:graphic>
              </wp:anchor>
            </w:drawing>
          </mc:Fallback>
        </mc:AlternateConten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709" w:right="36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objective of this contract is the supply, delivery, unloading, siting and installation, commissioning furniture items for the Training Center in Razeni,  in the frames of the project “Increasing the protection of the population in emergency situation caused by natural disasters in the cross-border area”, 2SOFT/4.2/71. The furniture will be delivered and installed to the renovated center which will be the one of the localities of the Training Center for improvement of capacities of various actors in the Disaster risk management.</w:t>
      </w:r>
    </w:p>
    <w:p w:rsidR="00000000" w:rsidDel="00000000" w:rsidP="00000000" w:rsidRDefault="00000000" w:rsidRPr="00000000" w14:paraId="00000014">
      <w:pPr>
        <w:numPr>
          <w:ilvl w:val="0"/>
          <w:numId w:val="2"/>
        </w:numPr>
        <w:ind w:left="709" w:hanging="425"/>
        <w:rPr>
          <w:b w:val="1"/>
          <w:vertAlign w:val="baseline"/>
        </w:rPr>
      </w:pPr>
      <w:r w:rsidDel="00000000" w:rsidR="00000000" w:rsidRPr="00000000">
        <w:rPr>
          <w:b w:val="1"/>
          <w:vertAlign w:val="baseline"/>
          <w:rtl w:val="0"/>
        </w:rPr>
        <w:t xml:space="preserve">Number and titles of lots</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709" w:right="36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One Lot only</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00" w:before="400" w:line="240" w:lineRule="auto"/>
        <w:ind w:left="357"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TERMS OF PARTICIPATION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165100</wp:posOffset>
                </wp:positionV>
                <wp:extent cx="5943600" cy="22225"/>
                <wp:effectExtent b="0" l="0" r="0" t="0"/>
                <wp:wrapNone/>
                <wp:docPr id="5" name=""/>
                <a:graphic>
                  <a:graphicData uri="http://schemas.microsoft.com/office/word/2010/wordprocessingShape">
                    <wps:wsp>
                      <wps:cNvCnPr/>
                      <wps:spPr>
                        <a:xfrm>
                          <a:off x="2374200" y="3779683"/>
                          <a:ext cx="5943600" cy="635"/>
                        </a:xfrm>
                        <a:prstGeom prst="straightConnector1">
                          <a:avLst/>
                        </a:prstGeom>
                        <a:solidFill>
                          <a:srgbClr val="FFFFFF"/>
                        </a:solidFill>
                        <a:ln cap="flat" cmpd="sng" w="22225">
                          <a:solidFill>
                            <a:srgbClr val="D4D4D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165100</wp:posOffset>
                </wp:positionV>
                <wp:extent cx="5943600" cy="22225"/>
                <wp:effectExtent b="0" l="0" r="0" t="0"/>
                <wp:wrapNone/>
                <wp:docPr id="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943600" cy="22225"/>
                        </a:xfrm>
                        <a:prstGeom prst="rect"/>
                        <a:ln/>
                      </pic:spPr>
                    </pic:pic>
                  </a:graphicData>
                </a:graphic>
              </wp:anchor>
            </w:drawing>
          </mc:Fallback>
        </mc:AlternateContent>
      </w:r>
    </w:p>
    <w:p w:rsidR="00000000" w:rsidDel="00000000" w:rsidP="00000000" w:rsidRDefault="00000000" w:rsidRPr="00000000" w14:paraId="00000017">
      <w:pPr>
        <w:numPr>
          <w:ilvl w:val="0"/>
          <w:numId w:val="2"/>
        </w:numPr>
        <w:ind w:left="709" w:hanging="360"/>
        <w:rPr>
          <w:b w:val="1"/>
          <w:vertAlign w:val="baseline"/>
        </w:rPr>
      </w:pPr>
      <w:r w:rsidDel="00000000" w:rsidR="00000000" w:rsidRPr="00000000">
        <w:rPr>
          <w:b w:val="1"/>
          <w:vertAlign w:val="baseline"/>
          <w:rtl w:val="0"/>
        </w:rPr>
        <w:t xml:space="preserve">Eligibility and rules of origin </w:t>
      </w:r>
    </w:p>
    <w:p w:rsidR="00000000" w:rsidDel="00000000" w:rsidP="00000000" w:rsidRDefault="00000000" w:rsidRPr="00000000" w14:paraId="00000018">
      <w:pPr>
        <w:widowControl w:val="1"/>
        <w:spacing w:after="360" w:before="0" w:lineRule="auto"/>
        <w:ind w:left="709" w:right="1" w:firstLine="0"/>
        <w:jc w:val="both"/>
        <w:rPr>
          <w:vertAlign w:val="baseline"/>
        </w:rPr>
      </w:pPr>
      <w:r w:rsidDel="00000000" w:rsidR="00000000" w:rsidRPr="00000000">
        <w:rPr>
          <w:sz w:val="22"/>
          <w:szCs w:val="22"/>
          <w:rtl w:val="0"/>
        </w:rPr>
        <w:t xml:space="preserve">All supplies under this contract may originate from any country.</w:t>
      </w:r>
      <w:r w:rsidDel="00000000" w:rsidR="00000000" w:rsidRPr="00000000">
        <w:rPr>
          <w:rtl w:val="0"/>
        </w:rPr>
      </w:r>
    </w:p>
    <w:p w:rsidR="00000000" w:rsidDel="00000000" w:rsidP="00000000" w:rsidRDefault="00000000" w:rsidRPr="00000000" w14:paraId="00000019">
      <w:pPr>
        <w:numPr>
          <w:ilvl w:val="0"/>
          <w:numId w:val="2"/>
        </w:numPr>
        <w:ind w:left="709" w:right="1" w:hanging="425"/>
        <w:rPr>
          <w:b w:val="1"/>
          <w:vertAlign w:val="baseline"/>
        </w:rPr>
      </w:pPr>
      <w:r w:rsidDel="00000000" w:rsidR="00000000" w:rsidRPr="00000000">
        <w:rPr>
          <w:b w:val="1"/>
          <w:vertAlign w:val="baseline"/>
          <w:rtl w:val="0"/>
        </w:rPr>
        <w:t xml:space="preserve">Grounds for exclusion</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709"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Tenderers must submit a signed declaration, included in the Tender Form for a Supply Contract, to the effect that they are not in any of the situations listed in point 2.3.3 of the Practical Guide.</w:t>
      </w:r>
    </w:p>
    <w:p w:rsidR="00000000" w:rsidDel="00000000" w:rsidP="00000000" w:rsidRDefault="00000000" w:rsidRPr="00000000" w14:paraId="0000001B">
      <w:pPr>
        <w:numPr>
          <w:ilvl w:val="0"/>
          <w:numId w:val="2"/>
        </w:numPr>
        <w:ind w:left="709" w:right="1" w:hanging="425"/>
        <w:rPr>
          <w:b w:val="1"/>
          <w:vertAlign w:val="baseline"/>
        </w:rPr>
      </w:pPr>
      <w:r w:rsidDel="00000000" w:rsidR="00000000" w:rsidRPr="00000000">
        <w:rPr>
          <w:b w:val="1"/>
          <w:vertAlign w:val="baseline"/>
          <w:rtl w:val="0"/>
        </w:rPr>
        <w:t xml:space="preserve">Number of tenders</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709"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Tenderers may submit only one tender per lot. Tenders for parts of a lot will not be considered. Any tenderer may state in its tender that it would offer a discount in the event that its tender is accepted for more than one lot. Tenderers may not submit a tender for a variant solution in addition to their tender for the supplies required in the tender dossier.</w:t>
      </w:r>
    </w:p>
    <w:p w:rsidR="00000000" w:rsidDel="00000000" w:rsidP="00000000" w:rsidRDefault="00000000" w:rsidRPr="00000000" w14:paraId="0000001D">
      <w:pPr>
        <w:numPr>
          <w:ilvl w:val="0"/>
          <w:numId w:val="2"/>
        </w:numPr>
        <w:ind w:left="709" w:right="1" w:hanging="425"/>
        <w:rPr>
          <w:b w:val="1"/>
          <w:vertAlign w:val="baseline"/>
        </w:rPr>
      </w:pPr>
      <w:r w:rsidDel="00000000" w:rsidR="00000000" w:rsidRPr="00000000">
        <w:rPr>
          <w:b w:val="1"/>
          <w:vertAlign w:val="baseline"/>
          <w:rtl w:val="0"/>
        </w:rPr>
        <w:t xml:space="preserve">Tender guarantee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709"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tender guarantee is required</w:t>
      </w:r>
      <w:r w:rsidDel="00000000" w:rsidR="00000000" w:rsidRPr="00000000">
        <w:rPr>
          <w:rtl w:val="0"/>
        </w:rPr>
      </w:r>
    </w:p>
    <w:p w:rsidR="00000000" w:rsidDel="00000000" w:rsidP="00000000" w:rsidRDefault="00000000" w:rsidRPr="00000000" w14:paraId="0000001F">
      <w:pPr>
        <w:keepNext w:val="1"/>
        <w:keepLines w:val="1"/>
        <w:numPr>
          <w:ilvl w:val="0"/>
          <w:numId w:val="2"/>
        </w:numPr>
        <w:ind w:left="709" w:right="1" w:hanging="425"/>
        <w:rPr>
          <w:b w:val="1"/>
          <w:vertAlign w:val="baseline"/>
        </w:rPr>
      </w:pPr>
      <w:r w:rsidDel="00000000" w:rsidR="00000000" w:rsidRPr="00000000">
        <w:rPr>
          <w:b w:val="1"/>
          <w:vertAlign w:val="baseline"/>
          <w:rtl w:val="0"/>
        </w:rPr>
        <w:t xml:space="preserve">Performance guarantee</w:t>
      </w:r>
    </w:p>
    <w:p w:rsidR="00000000" w:rsidDel="00000000" w:rsidP="00000000" w:rsidRDefault="00000000" w:rsidRPr="00000000" w14:paraId="00000020">
      <w:pPr>
        <w:spacing w:after="120" w:before="0" w:lineRule="auto"/>
        <w:ind w:left="709" w:right="1" w:firstLine="0"/>
        <w:jc w:val="both"/>
        <w:rPr>
          <w:color w:val="000000"/>
          <w:sz w:val="22"/>
          <w:szCs w:val="22"/>
          <w:vertAlign w:val="baseline"/>
        </w:rPr>
      </w:pPr>
      <w:r w:rsidDel="00000000" w:rsidR="00000000" w:rsidRPr="00000000">
        <w:rPr>
          <w:color w:val="000000"/>
          <w:sz w:val="22"/>
          <w:szCs w:val="22"/>
          <w:vertAlign w:val="baseline"/>
          <w:rtl w:val="0"/>
        </w:rPr>
        <w:t xml:space="preserve">No performance guarantee is required.</w:t>
      </w:r>
      <w:r w:rsidDel="00000000" w:rsidR="00000000" w:rsidRPr="00000000">
        <w:rPr>
          <w:rtl w:val="0"/>
        </w:rPr>
      </w:r>
    </w:p>
    <w:p w:rsidR="00000000" w:rsidDel="00000000" w:rsidP="00000000" w:rsidRDefault="00000000" w:rsidRPr="00000000" w14:paraId="00000021">
      <w:pPr>
        <w:numPr>
          <w:ilvl w:val="0"/>
          <w:numId w:val="2"/>
        </w:numPr>
        <w:ind w:left="709" w:hanging="425"/>
        <w:rPr>
          <w:b w:val="1"/>
          <w:vertAlign w:val="baseline"/>
        </w:rPr>
      </w:pPr>
      <w:r w:rsidDel="00000000" w:rsidR="00000000" w:rsidRPr="00000000">
        <w:rPr>
          <w:b w:val="1"/>
          <w:vertAlign w:val="baseline"/>
          <w:rtl w:val="0"/>
        </w:rPr>
        <w:t xml:space="preserve">Information meeting and/or site visit</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709"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information meeting is planned</w:t>
      </w:r>
    </w:p>
    <w:p w:rsidR="00000000" w:rsidDel="00000000" w:rsidP="00000000" w:rsidRDefault="00000000" w:rsidRPr="00000000" w14:paraId="00000023">
      <w:pPr>
        <w:numPr>
          <w:ilvl w:val="0"/>
          <w:numId w:val="2"/>
        </w:numPr>
        <w:ind w:left="709" w:hanging="425"/>
        <w:rPr>
          <w:b w:val="1"/>
          <w:vertAlign w:val="baseline"/>
        </w:rPr>
      </w:pPr>
      <w:r w:rsidDel="00000000" w:rsidR="00000000" w:rsidRPr="00000000">
        <w:rPr>
          <w:b w:val="1"/>
          <w:vertAlign w:val="baseline"/>
          <w:rtl w:val="0"/>
        </w:rPr>
        <w:t xml:space="preserve">Tender validity</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709"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Tenders must remain valid for a period of 90 days after the deadline for submission of tenders. In exceptional circumstances, the Contracting Authority may, before the validity period expires, request that tenderers extend the validity of tenders for a specific period (see para 8.2 of the instructions to tenderers).</w:t>
      </w:r>
    </w:p>
    <w:p w:rsidR="00000000" w:rsidDel="00000000" w:rsidP="00000000" w:rsidRDefault="00000000" w:rsidRPr="00000000" w14:paraId="00000025">
      <w:pPr>
        <w:numPr>
          <w:ilvl w:val="0"/>
          <w:numId w:val="2"/>
        </w:numPr>
        <w:ind w:left="709" w:hanging="425"/>
        <w:rPr>
          <w:b w:val="1"/>
          <w:vertAlign w:val="baseline"/>
        </w:rPr>
      </w:pPr>
      <w:r w:rsidDel="00000000" w:rsidR="00000000" w:rsidRPr="00000000">
        <w:rPr>
          <w:b w:val="1"/>
          <w:vertAlign w:val="baseline"/>
          <w:rtl w:val="0"/>
        </w:rPr>
        <w:t xml:space="preserve">Period of implementation of tasks</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709" w:right="1" w:firstLine="0"/>
        <w:jc w:val="both"/>
        <w:rPr>
          <w:sz w:val="22"/>
          <w:szCs w:val="22"/>
        </w:rPr>
      </w:pPr>
      <w:r w:rsidDel="00000000" w:rsidR="00000000" w:rsidRPr="00000000">
        <w:rPr>
          <w:sz w:val="22"/>
          <w:szCs w:val="22"/>
          <w:rtl w:val="0"/>
        </w:rPr>
        <w:t xml:space="preserve">All items requested in the current Tender should be supplied in the quarter 1 of 2022, until the provision acceptance</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709" w:right="1" w:firstLine="0"/>
        <w:jc w:val="both"/>
        <w:rPr>
          <w:sz w:val="22"/>
          <w:szCs w:val="22"/>
        </w:rPr>
      </w:pPr>
      <w:r w:rsidDel="00000000" w:rsidR="00000000" w:rsidRPr="00000000">
        <w:rPr>
          <w:rtl w:val="0"/>
        </w:rPr>
      </w:r>
    </w:p>
    <w:p w:rsidR="00000000" w:rsidDel="00000000" w:rsidP="00000000" w:rsidRDefault="00000000" w:rsidRPr="00000000" w14:paraId="00000028">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5943600" cy="22225"/>
                <wp:effectExtent b="0" l="0" r="0" t="0"/>
                <wp:wrapNone/>
                <wp:docPr id="4" name=""/>
                <a:graphic>
                  <a:graphicData uri="http://schemas.microsoft.com/office/word/2010/wordprocessingShape">
                    <wps:wsp>
                      <wps:cNvCnPr/>
                      <wps:spPr>
                        <a:xfrm>
                          <a:off x="2374200" y="3779683"/>
                          <a:ext cx="5943600" cy="635"/>
                        </a:xfrm>
                        <a:prstGeom prst="straightConnector1">
                          <a:avLst/>
                        </a:prstGeom>
                        <a:solidFill>
                          <a:srgbClr val="FFFFFF"/>
                        </a:solidFill>
                        <a:ln cap="flat" cmpd="sng" w="22225">
                          <a:solidFill>
                            <a:srgbClr val="D4D4D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5943600" cy="22225"/>
                <wp:effectExtent b="0" l="0" r="0" t="0"/>
                <wp:wrapNone/>
                <wp:docPr id="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943600" cy="22225"/>
                        </a:xfrm>
                        <a:prstGeom prst="rect"/>
                        <a:ln/>
                      </pic:spPr>
                    </pic:pic>
                  </a:graphicData>
                </a:graphic>
              </wp:anchor>
            </w:drawing>
          </mc:Fallback>
        </mc:AlternateContent>
      </w:r>
    </w:p>
    <w:p w:rsidR="00000000" w:rsidDel="00000000" w:rsidP="00000000" w:rsidRDefault="00000000" w:rsidRPr="00000000" w14:paraId="00000029">
      <w:pPr>
        <w:ind w:left="360" w:firstLine="0"/>
        <w:jc w:val="center"/>
        <w:rPr>
          <w:b w:val="1"/>
          <w:sz w:val="28"/>
          <w:szCs w:val="28"/>
          <w:vertAlign w:val="baseline"/>
        </w:rPr>
      </w:pPr>
      <w:r w:rsidDel="00000000" w:rsidR="00000000" w:rsidRPr="00000000">
        <w:rPr>
          <w:b w:val="1"/>
          <w:sz w:val="28"/>
          <w:szCs w:val="28"/>
          <w:vertAlign w:val="baseline"/>
          <w:rtl w:val="0"/>
        </w:rPr>
        <w:t xml:space="preserve">SELECTION AND AWARD CRITERIA</w:t>
      </w:r>
    </w:p>
    <w:p w:rsidR="00000000" w:rsidDel="00000000" w:rsidP="00000000" w:rsidRDefault="00000000" w:rsidRPr="00000000" w14:paraId="0000002A">
      <w:pPr>
        <w:numPr>
          <w:ilvl w:val="0"/>
          <w:numId w:val="2"/>
        </w:numPr>
        <w:ind w:left="709" w:hanging="425"/>
        <w:rPr>
          <w:b w:val="1"/>
          <w:vertAlign w:val="baseline"/>
        </w:rPr>
      </w:pPr>
      <w:r w:rsidDel="00000000" w:rsidR="00000000" w:rsidRPr="00000000">
        <w:rPr>
          <w:b w:val="1"/>
          <w:vertAlign w:val="baseline"/>
          <w:rtl w:val="0"/>
        </w:rPr>
        <w:t xml:space="preserve">Selection criteria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709" w:right="36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following selection criteria will be applied to tenderers. In the case of tenders submitted by a consortium, these selection criteria will be applied to the consortium as a whole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unless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specified otherwise. The selection criteria will not be applied to natural persons and single-member companies when they are sub-contractors:</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1134" w:right="357" w:hanging="284.00000000000006"/>
        <w:jc w:val="both"/>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tab/>
        <w:t xml:space="preserve">Economic and financial capacity of tenderer</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(based on i.a. item 3 of the Tender Form for a Supply Contract). In case of tenderer being a public body, equivalent information should be provided. The reference period which will be taken into accou</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nt will be the last three years for which accounts have been closed.</w:t>
      </w:r>
    </w:p>
    <w:p w:rsidR="00000000" w:rsidDel="00000000" w:rsidP="00000000" w:rsidRDefault="00000000" w:rsidRPr="00000000" w14:paraId="0000002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1440" w:right="1" w:hanging="360"/>
        <w:jc w:val="both"/>
        <w:rPr>
          <w:sz w:val="22"/>
          <w:szCs w:val="22"/>
          <w:u w:val="none"/>
        </w:rPr>
      </w:pPr>
      <w:r w:rsidDel="00000000" w:rsidR="00000000" w:rsidRPr="00000000">
        <w:rPr>
          <w:sz w:val="22"/>
          <w:szCs w:val="22"/>
          <w:rtl w:val="0"/>
        </w:rPr>
        <w:t xml:space="preserve">the average annual turnover of the tenderer must exceed the annualised maximum budget of the contract (minimum annual turnover requested may not exceed 2 times the estimated annual contract value, except in duly justified cases motivated in the tender dossier); and</w:t>
      </w:r>
    </w:p>
    <w:p w:rsidR="00000000" w:rsidDel="00000000" w:rsidP="00000000" w:rsidRDefault="00000000" w:rsidRPr="00000000" w14:paraId="0000002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00" w:before="0" w:line="240" w:lineRule="auto"/>
        <w:ind w:left="1440" w:right="1" w:hanging="360"/>
        <w:jc w:val="both"/>
        <w:rPr>
          <w:sz w:val="22"/>
          <w:szCs w:val="22"/>
          <w:u w:val="none"/>
        </w:rPr>
      </w:pPr>
      <w:r w:rsidDel="00000000" w:rsidR="00000000" w:rsidRPr="00000000">
        <w:rPr>
          <w:sz w:val="22"/>
          <w:szCs w:val="22"/>
          <w:rtl w:val="0"/>
        </w:rPr>
        <w:t xml:space="preserve">Current ratio (current assets/current liabilities) in the last year for which accounts have been closed must be at least 1. In case of a consortium, this criterion must be fulfilled by each member.</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left="1341" w:right="1" w:firstLine="0"/>
        <w:jc w:val="both"/>
        <w:rPr>
          <w:sz w:val="22"/>
          <w:szCs w:val="22"/>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1134" w:right="1" w:hanging="284.00000000000006"/>
        <w:jc w:val="both"/>
        <w:rPr>
          <w:sz w:val="22"/>
          <w:szCs w:val="22"/>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tab/>
        <w:t xml:space="preserve">Professional capacity of tenderer (based on i.a. items 4 and 5 of the Tender Form for a Supply Contract). The reference period which will be taken into account will be the last </w:t>
      </w:r>
      <w:r w:rsidDel="00000000" w:rsidR="00000000" w:rsidRPr="00000000">
        <w:rPr>
          <w:sz w:val="22"/>
          <w:szCs w:val="22"/>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years from submission deadline.</w:t>
      </w:r>
      <w:r w:rsidDel="00000000" w:rsidR="00000000" w:rsidRPr="00000000">
        <w:rPr>
          <w:rtl w:val="0"/>
        </w:rPr>
      </w:r>
    </w:p>
    <w:p w:rsidR="00000000" w:rsidDel="00000000" w:rsidP="00000000" w:rsidRDefault="00000000" w:rsidRPr="00000000" w14:paraId="0000003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1530" w:right="1" w:hanging="360"/>
        <w:jc w:val="both"/>
        <w:rPr>
          <w:sz w:val="22"/>
          <w:szCs w:val="22"/>
          <w:u w:val="none"/>
        </w:rPr>
      </w:pPr>
      <w:r w:rsidDel="00000000" w:rsidR="00000000" w:rsidRPr="00000000">
        <w:rPr>
          <w:sz w:val="22"/>
          <w:szCs w:val="22"/>
          <w:rtl w:val="0"/>
        </w:rPr>
        <w:t xml:space="preserve">at least 5 related to the quantity of expertise required for this contract staff currently work for the tenderer in fields related to this contract; and</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1134" w:right="1" w:hanging="284.00000000000006"/>
        <w:jc w:val="both"/>
        <w:rPr>
          <w:sz w:val="22"/>
          <w:szCs w:val="22"/>
        </w:rPr>
      </w:pPr>
      <w:r w:rsidDel="00000000" w:rsidR="00000000" w:rsidRPr="00000000">
        <w:rPr>
          <w:sz w:val="22"/>
          <w:szCs w:val="22"/>
          <w:rtl w:val="0"/>
        </w:rPr>
        <w:t xml:space="preserve">3)</w:t>
        <w:tab/>
        <w:t xml:space="preserve">Technical capacity of tenderer (based on i.a. items 5 and 6 of the Tender Form for a Supply Contract). The reference period which will be taken into account will be the last 3 years from submission deadline.</w:t>
      </w:r>
    </w:p>
    <w:p w:rsidR="00000000" w:rsidDel="00000000" w:rsidP="00000000" w:rsidRDefault="00000000" w:rsidRPr="00000000" w14:paraId="00000033">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00" w:before="100" w:line="240" w:lineRule="auto"/>
        <w:ind w:left="1440" w:right="1" w:hanging="360"/>
        <w:jc w:val="both"/>
        <w:rPr>
          <w:sz w:val="22"/>
          <w:szCs w:val="22"/>
          <w:u w:val="none"/>
        </w:rPr>
      </w:pPr>
      <w:r w:rsidDel="00000000" w:rsidR="00000000" w:rsidRPr="00000000">
        <w:rPr>
          <w:sz w:val="22"/>
          <w:szCs w:val="22"/>
          <w:rtl w:val="0"/>
        </w:rPr>
        <w:t xml:space="preserve">the tenderer has delivered supplies under at least 3 contracts with a budget of at least 3000 EUR in supplying furniture  which were implemented during the following period: 3 years from the submission  deadline.</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1134"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means that the contract the tenderer refers to could have been started or completed at any time during the indicated period but it does not necessarily have to be started and completed during that period, nor implemented during the entire period. Tenderers are allowed to refer either to projects completed within the reference period (although started earlier) or to projects not yet completed. In the first case the project will be considered in its whole if proper evidence of performance is provided (statement or certificate from the entity which awarded the contract, final acceptance). In case of projects still on-going only the portion satisfactorily completed during the reference period will be taken into consideration. This portion will have to be supported by documentary evidence (similarly to projects completed) also detailing its value.</w:t>
      </w:r>
    </w:p>
    <w:p w:rsidR="00000000" w:rsidDel="00000000" w:rsidP="00000000" w:rsidRDefault="00000000" w:rsidRPr="00000000" w14:paraId="00000035">
      <w:pPr>
        <w:keepNext w:val="0"/>
        <w:keepLines w:val="1"/>
        <w:widowControl w:val="0"/>
        <w:pBdr>
          <w:top w:space="0" w:sz="0" w:val="nil"/>
          <w:left w:space="0" w:sz="0" w:val="nil"/>
          <w:bottom w:space="0" w:sz="0" w:val="nil"/>
          <w:right w:space="0" w:sz="0" w:val="nil"/>
          <w:between w:space="0" w:sz="0" w:val="nil"/>
        </w:pBdr>
        <w:shd w:fill="auto" w:val="clear"/>
        <w:spacing w:after="100" w:before="100" w:line="240" w:lineRule="auto"/>
        <w:ind w:left="1134" w:right="1" w:firstLine="0"/>
        <w:jc w:val="both"/>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Capacity-providing entities </w:t>
      </w:r>
    </w:p>
    <w:p w:rsidR="00000000" w:rsidDel="00000000" w:rsidP="00000000" w:rsidRDefault="00000000" w:rsidRPr="00000000" w14:paraId="00000036">
      <w:pPr>
        <w:keepNext w:val="0"/>
        <w:keepLines w:val="1"/>
        <w:widowControl w:val="0"/>
        <w:pBdr>
          <w:top w:space="0" w:sz="0" w:val="nil"/>
          <w:left w:space="0" w:sz="0" w:val="nil"/>
          <w:bottom w:space="0" w:sz="0" w:val="nil"/>
          <w:right w:space="0" w:sz="0" w:val="nil"/>
          <w:between w:space="0" w:sz="0" w:val="nil"/>
        </w:pBdr>
        <w:shd w:fill="auto" w:val="clear"/>
        <w:spacing w:after="100" w:before="100" w:line="240" w:lineRule="auto"/>
        <w:ind w:left="1134"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 economic operator may, where appropriate and for a particular contract, rely on the capacities of other entities, regardless of the legal nature of the links which it has with them. Some examples of when it may not be considered appropriate by the Contracting Authority are when the tender rely in majority on the capacities of other entities or when they rely on key criteria. If the tender rely on other entities it must prove to the Contracting Authority that it will have at its disposal the resources necessary for performance of the contract, for example by producing a commitment on the part of those entities to place those resources at its disposal. Such entities, for instance the parent company of the economic operator, must respect the same rules of eligibility and notably that of nationality, as the economic operator. Furthermore, the data for this third entity for the relevant selection criterion should be included in the tender in a separate document. Proof of the capacity will also have to be furnished when requested by the Contracting Authority. </w:t>
      </w:r>
    </w:p>
    <w:p w:rsidR="00000000" w:rsidDel="00000000" w:rsidP="00000000" w:rsidRDefault="00000000" w:rsidRPr="00000000" w14:paraId="00000037">
      <w:pPr>
        <w:keepNext w:val="0"/>
        <w:keepLines w:val="1"/>
        <w:widowControl w:val="0"/>
        <w:pBdr>
          <w:top w:space="0" w:sz="0" w:val="nil"/>
          <w:left w:space="0" w:sz="0" w:val="nil"/>
          <w:bottom w:space="0" w:sz="0" w:val="nil"/>
          <w:right w:space="0" w:sz="0" w:val="nil"/>
          <w:between w:space="0" w:sz="0" w:val="nil"/>
        </w:pBdr>
        <w:shd w:fill="auto" w:val="clear"/>
        <w:spacing w:after="100" w:before="100" w:line="240" w:lineRule="auto"/>
        <w:ind w:left="1134"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With regard to technical and professional criteria, a tenderer may only rely on the capacities of other entities where the latter will perform the tasks for which these capacities are required.</w:t>
      </w:r>
    </w:p>
    <w:p w:rsidR="00000000" w:rsidDel="00000000" w:rsidP="00000000" w:rsidRDefault="00000000" w:rsidRPr="00000000" w14:paraId="00000038">
      <w:pPr>
        <w:keepNext w:val="0"/>
        <w:keepLines w:val="1"/>
        <w:widowControl w:val="0"/>
        <w:pBdr>
          <w:top w:space="0" w:sz="0" w:val="nil"/>
          <w:left w:space="0" w:sz="0" w:val="nil"/>
          <w:bottom w:space="0" w:sz="0" w:val="nil"/>
          <w:right w:space="0" w:sz="0" w:val="nil"/>
          <w:between w:space="0" w:sz="0" w:val="nil"/>
        </w:pBdr>
        <w:shd w:fill="auto" w:val="clear"/>
        <w:spacing w:after="100" w:before="100" w:line="240" w:lineRule="auto"/>
        <w:ind w:left="1134"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With regard to economic and financial criteria, the entities upon whose capacity the tenderer relies, become jointly and severally liable for the performance of the contract.</w:t>
      </w:r>
    </w:p>
    <w:p w:rsidR="00000000" w:rsidDel="00000000" w:rsidP="00000000" w:rsidRDefault="00000000" w:rsidRPr="00000000" w14:paraId="00000039">
      <w:pPr>
        <w:numPr>
          <w:ilvl w:val="0"/>
          <w:numId w:val="2"/>
        </w:numPr>
        <w:ind w:left="709" w:right="1" w:hanging="425"/>
        <w:rPr>
          <w:b w:val="1"/>
          <w:vertAlign w:val="baseline"/>
        </w:rPr>
      </w:pPr>
      <w:r w:rsidDel="00000000" w:rsidR="00000000" w:rsidRPr="00000000">
        <w:rPr>
          <w:b w:val="1"/>
          <w:vertAlign w:val="baseline"/>
          <w:rtl w:val="0"/>
        </w:rPr>
        <w:t xml:space="preserve">Award criteria</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709"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Price (or, if appropriate after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prior approval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best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price-quality ratio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is a combination of quality and price)</w:t>
      </w:r>
    </w:p>
    <w:p w:rsidR="00000000" w:rsidDel="00000000" w:rsidP="00000000" w:rsidRDefault="00000000" w:rsidRPr="00000000" w14:paraId="0000003B">
      <w:pPr>
        <w:spacing w:before="300" w:lineRule="auto"/>
        <w:ind w:right="1"/>
        <w:jc w:val="center"/>
        <w:rPr>
          <w:b w:val="1"/>
          <w:sz w:val="28"/>
          <w:szCs w:val="28"/>
          <w:vertAlign w:val="baseline"/>
        </w:rPr>
      </w:pPr>
      <w:r w:rsidDel="00000000" w:rsidR="00000000" w:rsidRPr="00000000">
        <w:rPr>
          <w:b w:val="1"/>
          <w:sz w:val="28"/>
          <w:szCs w:val="28"/>
          <w:vertAlign w:val="baseline"/>
          <w:rtl w:val="0"/>
        </w:rPr>
        <w:t xml:space="preserve">TENDERING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5943600" cy="22225"/>
                <wp:effectExtent b="0" l="0" r="0" t="0"/>
                <wp:wrapNone/>
                <wp:docPr id="1" name=""/>
                <a:graphic>
                  <a:graphicData uri="http://schemas.microsoft.com/office/word/2010/wordprocessingShape">
                    <wps:wsp>
                      <wps:cNvCnPr/>
                      <wps:spPr>
                        <a:xfrm>
                          <a:off x="2374200" y="3779683"/>
                          <a:ext cx="5943600" cy="635"/>
                        </a:xfrm>
                        <a:prstGeom prst="straightConnector1">
                          <a:avLst/>
                        </a:prstGeom>
                        <a:solidFill>
                          <a:srgbClr val="FFFFFF"/>
                        </a:solidFill>
                        <a:ln cap="flat" cmpd="sng" w="22225">
                          <a:solidFill>
                            <a:srgbClr val="D4D4D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5943600" cy="22225"/>
                <wp:effectExtent b="0" l="0" r="0" t="0"/>
                <wp:wrapNone/>
                <wp:docPr id="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5943600" cy="22225"/>
                        </a:xfrm>
                        <a:prstGeom prst="rect"/>
                        <a:ln/>
                      </pic:spPr>
                    </pic:pic>
                  </a:graphicData>
                </a:graphic>
              </wp:anchor>
            </w:drawing>
          </mc:Fallback>
        </mc:AlternateContent>
      </w:r>
    </w:p>
    <w:p w:rsidR="00000000" w:rsidDel="00000000" w:rsidP="00000000" w:rsidRDefault="00000000" w:rsidRPr="00000000" w14:paraId="0000003C">
      <w:pPr>
        <w:numPr>
          <w:ilvl w:val="0"/>
          <w:numId w:val="2"/>
        </w:numPr>
        <w:ind w:left="709" w:right="1" w:hanging="425"/>
        <w:rPr>
          <w:b w:val="1"/>
          <w:vertAlign w:val="baseline"/>
        </w:rPr>
      </w:pPr>
      <w:r w:rsidDel="00000000" w:rsidR="00000000" w:rsidRPr="00000000">
        <w:rPr>
          <w:b w:val="1"/>
          <w:vertAlign w:val="baseline"/>
          <w:rtl w:val="0"/>
        </w:rPr>
        <w:t xml:space="preserve">How to obtain the tender dossier</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709"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tender dossier is available from the following Internet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address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r:id="rId12">
        <w:r w:rsidDel="00000000" w:rsidR="00000000" w:rsidRPr="00000000">
          <w:rPr>
            <w:rFonts w:ascii="Times New Roman" w:cs="Times New Roman" w:eastAsia="Times New Roman" w:hAnsi="Times New Roman"/>
            <w:b w:val="0"/>
            <w:i w:val="0"/>
            <w:smallCaps w:val="0"/>
            <w:strike w:val="0"/>
            <w:color w:val="1155cc"/>
            <w:sz w:val="22"/>
            <w:szCs w:val="22"/>
            <w:u w:val="single"/>
            <w:shd w:fill="auto" w:val="clear"/>
            <w:vertAlign w:val="baseline"/>
            <w:rtl w:val="0"/>
          </w:rPr>
          <w:t xml:space="preserve">http://dse.md/ru/achizitii</w:t>
        </w:r>
      </w:hyperlink>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709"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976k5gwi8gww" w:id="1"/>
      <w:bookmarkEnd w:id="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tender dossier is also available from the Contracting Authority. Tenders must be submitted using the standard Tender Form for a Supply Contract included in the tender dossier, whose format and instructions must be strictly observed.</w:t>
      </w:r>
    </w:p>
    <w:p w:rsidR="00000000" w:rsidDel="00000000" w:rsidP="00000000" w:rsidRDefault="00000000" w:rsidRPr="00000000" w14:paraId="0000003F">
      <w:pPr>
        <w:ind w:left="709" w:right="1" w:firstLine="0"/>
        <w:jc w:val="both"/>
        <w:rPr>
          <w:sz w:val="22"/>
          <w:szCs w:val="22"/>
          <w:vertAlign w:val="baseline"/>
        </w:rPr>
      </w:pPr>
      <w:r w:rsidDel="00000000" w:rsidR="00000000" w:rsidRPr="00000000">
        <w:rPr>
          <w:sz w:val="22"/>
          <w:szCs w:val="22"/>
          <w:vertAlign w:val="baseline"/>
          <w:rtl w:val="0"/>
        </w:rPr>
        <w:t xml:space="preserve">Tenderers with questions regarding this tender should send them in writing to ), 8/1 Cuza-Vodă street, Chișinău, Republic of Moldova, MD-2060 , </w:t>
      </w:r>
      <w:hyperlink r:id="rId13">
        <w:r w:rsidDel="00000000" w:rsidR="00000000" w:rsidRPr="00000000">
          <w:rPr>
            <w:color w:val="0000ff"/>
            <w:sz w:val="22"/>
            <w:szCs w:val="22"/>
            <w:u w:val="single"/>
            <w:vertAlign w:val="baseline"/>
            <w:rtl w:val="0"/>
          </w:rPr>
          <w:t xml:space="preserve">cri@dse.md</w:t>
        </w:r>
      </w:hyperlink>
      <w:r w:rsidDel="00000000" w:rsidR="00000000" w:rsidRPr="00000000">
        <w:rPr>
          <w:sz w:val="22"/>
          <w:szCs w:val="22"/>
          <w:vertAlign w:val="baseline"/>
          <w:rtl w:val="0"/>
        </w:rPr>
        <w:t xml:space="preserve"> (mentioning the publication reference shown in item 1) at least 21 days before the deadline for submission of tenders given in item 19. The Contracting Authority must reply to all tenderers' questions at least </w:t>
      </w:r>
      <w:r w:rsidDel="00000000" w:rsidR="00000000" w:rsidRPr="00000000">
        <w:rPr>
          <w:sz w:val="22"/>
          <w:szCs w:val="22"/>
          <w:vertAlign w:val="baseline"/>
          <w:rtl w:val="0"/>
        </w:rPr>
        <w:t xml:space="preserve">5 days before the</w:t>
      </w:r>
      <w:r w:rsidDel="00000000" w:rsidR="00000000" w:rsidRPr="00000000">
        <w:rPr>
          <w:vertAlign w:val="baseline"/>
          <w:rtl w:val="0"/>
        </w:rPr>
        <w:t xml:space="preserve"> </w:t>
      </w:r>
      <w:r w:rsidDel="00000000" w:rsidR="00000000" w:rsidRPr="00000000">
        <w:rPr>
          <w:sz w:val="22"/>
          <w:szCs w:val="22"/>
          <w:vertAlign w:val="baseline"/>
          <w:rtl w:val="0"/>
        </w:rPr>
        <w:t xml:space="preserve">deadline for submission of tenders. Eventual clarifications or minor changes to the tender dossier shall be published at the latest 5 days before the submission deadline on the DSE website. </w:t>
      </w:r>
    </w:p>
    <w:p w:rsidR="00000000" w:rsidDel="00000000" w:rsidP="00000000" w:rsidRDefault="00000000" w:rsidRPr="00000000" w14:paraId="00000040">
      <w:pPr>
        <w:ind w:left="709" w:right="1" w:hanging="425"/>
        <w:jc w:val="both"/>
        <w:rPr>
          <w:b w:val="1"/>
          <w:vertAlign w:val="baseline"/>
        </w:rPr>
      </w:pPr>
      <w:r w:rsidDel="00000000" w:rsidR="00000000" w:rsidRPr="00000000">
        <w:rPr>
          <w:b w:val="1"/>
          <w:vertAlign w:val="baseline"/>
          <w:rtl w:val="0"/>
        </w:rPr>
        <w:t xml:space="preserve">Deadline for submission of tenders</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709" w:right="1" w:firstLine="0"/>
        <w:jc w:val="both"/>
        <w:rPr>
          <w:sz w:val="22"/>
          <w:szCs w:val="22"/>
          <w:highlight w:val="yellow"/>
        </w:rPr>
      </w:pPr>
      <w:r w:rsidDel="00000000" w:rsidR="00000000" w:rsidRPr="00000000">
        <w:rPr>
          <w:sz w:val="22"/>
          <w:szCs w:val="22"/>
          <w:rtl w:val="0"/>
        </w:rPr>
        <w:t xml:space="preserve">The deadline of submission of tenders is 16:00 Moldovan time, September 10, 2021.</w:t>
      </w: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709" w:right="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tender received by the Contracting Authority after this deadline will not be considered.</w:t>
      </w:r>
    </w:p>
    <w:p w:rsidR="00000000" w:rsidDel="00000000" w:rsidP="00000000" w:rsidRDefault="00000000" w:rsidRPr="00000000" w14:paraId="00000043">
      <w:pPr>
        <w:numPr>
          <w:ilvl w:val="0"/>
          <w:numId w:val="2"/>
        </w:numPr>
        <w:ind w:left="709" w:right="1" w:hanging="425"/>
        <w:jc w:val="both"/>
        <w:rPr>
          <w:b w:val="1"/>
          <w:vertAlign w:val="baseline"/>
        </w:rPr>
      </w:pPr>
      <w:r w:rsidDel="00000000" w:rsidR="00000000" w:rsidRPr="00000000">
        <w:rPr>
          <w:b w:val="1"/>
          <w:vertAlign w:val="baseline"/>
          <w:rtl w:val="0"/>
        </w:rPr>
        <w:t xml:space="preserve">Tender opening session</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644" w:right="1" w:firstLine="0"/>
        <w:jc w:val="both"/>
        <w:rPr>
          <w:sz w:val="22"/>
          <w:szCs w:val="22"/>
        </w:rPr>
      </w:pPr>
      <w:r w:rsidDel="00000000" w:rsidR="00000000" w:rsidRPr="00000000">
        <w:rPr>
          <w:sz w:val="22"/>
          <w:szCs w:val="22"/>
          <w:rtl w:val="0"/>
        </w:rPr>
        <w:t xml:space="preserve">Tender opening session will take place on 13 September, 2021 at 10:00.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644" w:right="1" w:firstLine="0"/>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sz w:val="22"/>
          <w:szCs w:val="22"/>
          <w:rtl w:val="0"/>
        </w:rPr>
        <w:t xml:space="preserve">Location: Republican Training Center of GIES MD,  MD-2060, Mun. Chișinău, bd. Cuza-Vodă, 8/1.</w:t>
      </w:r>
      <w:r w:rsidDel="00000000" w:rsidR="00000000" w:rsidRPr="00000000">
        <w:rPr>
          <w:rtl w:val="0"/>
        </w:rPr>
      </w:r>
    </w:p>
    <w:p w:rsidR="00000000" w:rsidDel="00000000" w:rsidP="00000000" w:rsidRDefault="00000000" w:rsidRPr="00000000" w14:paraId="00000046">
      <w:pPr>
        <w:numPr>
          <w:ilvl w:val="0"/>
          <w:numId w:val="2"/>
        </w:numPr>
        <w:ind w:left="709" w:right="1" w:hanging="425"/>
        <w:jc w:val="both"/>
        <w:rPr>
          <w:b w:val="1"/>
          <w:vertAlign w:val="baseline"/>
        </w:rPr>
      </w:pPr>
      <w:r w:rsidDel="00000000" w:rsidR="00000000" w:rsidRPr="00000000">
        <w:rPr>
          <w:b w:val="1"/>
          <w:vertAlign w:val="baseline"/>
          <w:rtl w:val="0"/>
        </w:rPr>
        <w:t xml:space="preserve">Language of the procedure</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709" w:right="1" w:firstLine="0"/>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All written communications for this tender procedure and contract must be in English. </w:t>
      </w:r>
    </w:p>
    <w:p w:rsidR="00000000" w:rsidDel="00000000" w:rsidP="00000000" w:rsidRDefault="00000000" w:rsidRPr="00000000" w14:paraId="00000048">
      <w:pPr>
        <w:numPr>
          <w:ilvl w:val="0"/>
          <w:numId w:val="2"/>
        </w:numPr>
        <w:ind w:left="709" w:right="1" w:hanging="425"/>
        <w:jc w:val="both"/>
        <w:rPr>
          <w:b w:val="1"/>
          <w:vertAlign w:val="baseline"/>
        </w:rPr>
      </w:pPr>
      <w:r w:rsidDel="00000000" w:rsidR="00000000" w:rsidRPr="00000000">
        <w:rPr>
          <w:b w:val="1"/>
          <w:rtl w:val="0"/>
        </w:rPr>
        <w:t xml:space="preserve">Legal basis</w:t>
      </w: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644" w:right="1" w:firstLine="0"/>
        <w:jc w:val="both"/>
        <w:rPr>
          <w:sz w:val="22"/>
          <w:szCs w:val="22"/>
        </w:rPr>
      </w:pPr>
      <w:r w:rsidDel="00000000" w:rsidR="00000000" w:rsidRPr="00000000">
        <w:rPr>
          <w:sz w:val="22"/>
          <w:szCs w:val="22"/>
          <w:rtl w:val="0"/>
        </w:rPr>
        <w:t xml:space="preserve">The provisions of the Procurement and grants for European Union external actions (PRAG) should be applied and the prerequisites of the n</w:t>
      </w:r>
      <w:r w:rsidDel="00000000" w:rsidR="00000000" w:rsidRPr="00000000">
        <w:rPr>
          <w:sz w:val="22"/>
          <w:szCs w:val="22"/>
          <w:rtl w:val="0"/>
        </w:rPr>
        <w:t xml:space="preserve">ational legislation of the Republic of Moldova when applicable.</w:t>
      </w:r>
      <w:r w:rsidDel="00000000" w:rsidR="00000000" w:rsidRPr="00000000">
        <w:rPr>
          <w:rtl w:val="0"/>
        </w:rPr>
      </w:r>
    </w:p>
    <w:p w:rsidR="00000000" w:rsidDel="00000000" w:rsidP="00000000" w:rsidRDefault="00000000" w:rsidRPr="00000000" w14:paraId="0000004A">
      <w:pPr>
        <w:ind w:left="644" w:right="1" w:firstLine="0"/>
        <w:jc w:val="both"/>
        <w:rPr>
          <w:sz w:val="22"/>
          <w:szCs w:val="22"/>
          <w:highlight w:val="lightGray"/>
          <w:vertAlign w:val="baseline"/>
        </w:rPr>
      </w:pPr>
      <w:r w:rsidDel="00000000" w:rsidR="00000000" w:rsidRPr="00000000">
        <w:rPr>
          <w:rtl w:val="0"/>
        </w:rPr>
      </w:r>
    </w:p>
    <w:p w:rsidR="00000000" w:rsidDel="00000000" w:rsidP="00000000" w:rsidRDefault="00000000" w:rsidRPr="00000000" w14:paraId="0000004B">
      <w:pPr>
        <w:numPr>
          <w:ilvl w:val="0"/>
          <w:numId w:val="2"/>
        </w:numPr>
        <w:ind w:left="709" w:right="1" w:hanging="425"/>
        <w:jc w:val="both"/>
        <w:rPr>
          <w:b w:val="1"/>
          <w:vertAlign w:val="baseline"/>
        </w:rPr>
      </w:pPr>
      <w:r w:rsidDel="00000000" w:rsidR="00000000" w:rsidRPr="00000000">
        <w:rPr>
          <w:b w:val="1"/>
          <w:vertAlign w:val="baseline"/>
          <w:rtl w:val="0"/>
        </w:rPr>
        <w:t xml:space="preserve">Additional information</w:t>
      </w:r>
    </w:p>
    <w:p w:rsidR="00000000" w:rsidDel="00000000" w:rsidP="00000000" w:rsidRDefault="00000000" w:rsidRPr="00000000" w14:paraId="0000004C">
      <w:pPr>
        <w:ind w:left="720" w:right="1" w:firstLine="0"/>
        <w:rPr>
          <w:sz w:val="22"/>
          <w:szCs w:val="22"/>
          <w:vertAlign w:val="baseline"/>
        </w:rPr>
      </w:pPr>
      <w:r w:rsidDel="00000000" w:rsidR="00000000" w:rsidRPr="00000000">
        <w:rPr>
          <w:sz w:val="22"/>
          <w:szCs w:val="22"/>
          <w:vertAlign w:val="baseline"/>
          <w:rtl w:val="0"/>
        </w:rPr>
        <w:t xml:space="preserve">No additional information</w:t>
      </w:r>
    </w:p>
    <w:sectPr>
      <w:footerReference r:id="rId14" w:type="default"/>
      <w:footerReference r:id="rId15" w:type="even"/>
      <w:pgSz w:h="16839" w:w="11907" w:orient="portrait"/>
      <w:pgMar w:bottom="1417" w:top="1417" w:left="1417" w:right="1417" w:header="1440" w:footer="53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100" w:line="240" w:lineRule="auto"/>
      <w:ind w:left="0" w:right="357"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15 January 2016</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100" w:before="0" w:line="240" w:lineRule="auto"/>
      <w:ind w:left="0" w:right="357"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c2_contractnotice_en.doc</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100" w:before="10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100" w:before="10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decimal"/>
      <w:lvlText w:val="%1."/>
      <w:lvlJc w:val="left"/>
      <w:pPr>
        <w:ind w:left="644" w:hanging="359.99999999999994"/>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widowControl w:val="0"/>
        <w:spacing w:after="100" w:before="1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widowControl w:val="1"/>
      <w:spacing w:after="120" w:before="240" w:lineRule="auto"/>
      <w:ind w:left="567" w:hanging="567"/>
      <w:jc w:val="both"/>
    </w:pPr>
    <w:rPr>
      <w:b w:val="1"/>
      <w:sz w:val="22"/>
      <w:szCs w:val="22"/>
      <w:vertAlign w:val="baseline"/>
    </w:rPr>
  </w:style>
  <w:style w:type="paragraph" w:styleId="Heading3">
    <w:name w:val="heading 3"/>
    <w:basedOn w:val="Normal"/>
    <w:next w:val="Normal"/>
    <w:pPr>
      <w:widowControl w:val="1"/>
      <w:spacing w:after="120" w:before="240" w:lineRule="auto"/>
      <w:ind w:left="1134" w:hanging="567"/>
      <w:jc w:val="both"/>
    </w:pPr>
    <w:rPr>
      <w:sz w:val="22"/>
      <w:szCs w:val="22"/>
      <w:vertAlign w:val="baseline"/>
    </w:rPr>
  </w:style>
  <w:style w:type="paragraph" w:styleId="Heading4">
    <w:name w:val="heading 4"/>
    <w:basedOn w:val="Normal"/>
    <w:next w:val="Normal"/>
    <w:pPr>
      <w:widowControl w:val="1"/>
      <w:spacing w:after="120" w:before="120" w:lineRule="auto"/>
      <w:ind w:left="1440"/>
      <w:jc w:val="both"/>
    </w:pPr>
    <w:rPr>
      <w:sz w:val="22"/>
      <w:szCs w:val="22"/>
      <w:vertAlign w:val="baseline"/>
    </w:rPr>
  </w:style>
  <w:style w:type="paragraph" w:styleId="Heading5">
    <w:name w:val="heading 5"/>
    <w:basedOn w:val="Normal"/>
    <w:next w:val="Normal"/>
    <w:pPr>
      <w:widowControl w:val="1"/>
      <w:spacing w:after="120" w:before="240" w:lineRule="auto"/>
      <w:ind w:left="2835" w:hanging="850"/>
      <w:jc w:val="both"/>
    </w:pPr>
    <w:rPr>
      <w:sz w:val="22"/>
      <w:szCs w:val="22"/>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widowControl w:val="0"/>
      <w:suppressAutoHyphens w:val="1"/>
      <w:spacing w:after="100" w:before="100" w:line="1" w:lineRule="atLeast"/>
      <w:ind w:leftChars="-1" w:rightChars="0" w:firstLineChars="-1"/>
      <w:textDirection w:val="btLr"/>
      <w:textAlignment w:val="top"/>
      <w:outlineLvl w:val="0"/>
    </w:pPr>
    <w:rPr>
      <w:snapToGrid w:val="0"/>
      <w:w w:val="100"/>
      <w:position w:val="-1"/>
      <w:sz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widowControl w:val="1"/>
      <w:numPr>
        <w:ilvl w:val="0"/>
        <w:numId w:val="39"/>
      </w:numPr>
      <w:suppressAutoHyphens w:val="1"/>
      <w:spacing w:after="120" w:before="240" w:line="1" w:lineRule="atLeast"/>
      <w:ind w:leftChars="-1" w:rightChars="0" w:firstLineChars="-1"/>
      <w:jc w:val="both"/>
      <w:textDirection w:val="btLr"/>
      <w:textAlignment w:val="top"/>
      <w:outlineLvl w:val="1"/>
    </w:pPr>
    <w:rPr>
      <w:b w:val="1"/>
      <w:snapToGrid w:val="0"/>
      <w:w w:val="100"/>
      <w:position w:val="-1"/>
      <w:sz w:val="22"/>
      <w:szCs w:val="22"/>
      <w:effect w:val="none"/>
      <w:vertAlign w:val="baseline"/>
      <w:cs w:val="0"/>
      <w:em w:val="none"/>
      <w:lang w:bidi="ar-SA" w:eastAsia="en-US" w:val="en-GB"/>
    </w:rPr>
  </w:style>
  <w:style w:type="paragraph" w:styleId="Heading3">
    <w:name w:val="Heading 3"/>
    <w:basedOn w:val="Normal"/>
    <w:next w:val="Normal"/>
    <w:autoRedefine w:val="0"/>
    <w:hidden w:val="0"/>
    <w:qFormat w:val="0"/>
    <w:pPr>
      <w:widowControl w:val="1"/>
      <w:numPr>
        <w:ilvl w:val="1"/>
        <w:numId w:val="39"/>
      </w:numPr>
      <w:suppressAutoHyphens w:val="1"/>
      <w:spacing w:after="120" w:before="240" w:line="1" w:lineRule="atLeast"/>
      <w:ind w:leftChars="-1" w:rightChars="0" w:firstLineChars="-1"/>
      <w:jc w:val="both"/>
      <w:textDirection w:val="btLr"/>
      <w:textAlignment w:val="top"/>
      <w:outlineLvl w:val="2"/>
    </w:pPr>
    <w:rPr>
      <w:snapToGrid w:val="1"/>
      <w:w w:val="100"/>
      <w:position w:val="-1"/>
      <w:sz w:val="22"/>
      <w:szCs w:val="22"/>
      <w:effect w:val="none"/>
      <w:vertAlign w:val="baseline"/>
      <w:cs w:val="0"/>
      <w:em w:val="none"/>
      <w:lang w:bidi="ar-SA" w:eastAsia="en-US" w:val="en-GB"/>
    </w:rPr>
  </w:style>
  <w:style w:type="paragraph" w:styleId="Heading4">
    <w:name w:val="Heading 4"/>
    <w:basedOn w:val="Normal"/>
    <w:next w:val="Normal"/>
    <w:autoRedefine w:val="0"/>
    <w:hidden w:val="0"/>
    <w:qFormat w:val="0"/>
    <w:pPr>
      <w:widowControl w:val="1"/>
      <w:suppressAutoHyphens w:val="1"/>
      <w:spacing w:after="120" w:before="120" w:line="1" w:lineRule="atLeast"/>
      <w:ind w:left="1440" w:leftChars="-1" w:rightChars="0" w:firstLineChars="-1"/>
      <w:jc w:val="both"/>
      <w:textDirection w:val="btLr"/>
      <w:textAlignment w:val="top"/>
      <w:outlineLvl w:val="3"/>
    </w:pPr>
    <w:rPr>
      <w:snapToGrid w:val="0"/>
      <w:w w:val="100"/>
      <w:position w:val="-1"/>
      <w:sz w:val="22"/>
      <w:szCs w:val="22"/>
      <w:effect w:val="none"/>
      <w:vertAlign w:val="baseline"/>
      <w:cs w:val="0"/>
      <w:em w:val="none"/>
      <w:lang w:bidi="ar-SA" w:eastAsia="en-US" w:val="en-GB"/>
    </w:rPr>
  </w:style>
  <w:style w:type="paragraph" w:styleId="Heading5">
    <w:name w:val="Heading 5"/>
    <w:basedOn w:val="Normal"/>
    <w:next w:val="Normal"/>
    <w:autoRedefine w:val="0"/>
    <w:hidden w:val="0"/>
    <w:qFormat w:val="0"/>
    <w:pPr>
      <w:widowControl w:val="1"/>
      <w:numPr>
        <w:ilvl w:val="3"/>
        <w:numId w:val="39"/>
      </w:numPr>
      <w:suppressAutoHyphens w:val="1"/>
      <w:spacing w:after="120" w:before="240" w:line="1" w:lineRule="atLeast"/>
      <w:ind w:leftChars="-1" w:rightChars="0" w:firstLineChars="-1"/>
      <w:jc w:val="both"/>
      <w:textDirection w:val="btLr"/>
      <w:textAlignment w:val="top"/>
      <w:outlineLvl w:val="4"/>
    </w:pPr>
    <w:rPr>
      <w:snapToGrid w:val="0"/>
      <w:w w:val="100"/>
      <w:position w:val="-1"/>
      <w:sz w:val="22"/>
      <w:szCs w:val="22"/>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DefinitionTerm">
    <w:name w:val="Definition Term"/>
    <w:basedOn w:val="Normal"/>
    <w:next w:val="DefinitionList"/>
    <w:autoRedefine w:val="0"/>
    <w:hidden w:val="0"/>
    <w:qFormat w:val="0"/>
    <w:pPr>
      <w:widowControl w:val="0"/>
      <w:suppressAutoHyphens w:val="1"/>
      <w:spacing w:after="0" w:before="0" w:line="1" w:lineRule="atLeast"/>
      <w:ind w:leftChars="-1" w:rightChars="0" w:firstLineChars="-1"/>
      <w:textDirection w:val="btLr"/>
      <w:textAlignment w:val="top"/>
      <w:outlineLvl w:val="0"/>
    </w:pPr>
    <w:rPr>
      <w:snapToGrid w:val="0"/>
      <w:w w:val="100"/>
      <w:position w:val="-1"/>
      <w:sz w:val="24"/>
      <w:effect w:val="none"/>
      <w:vertAlign w:val="baseline"/>
      <w:cs w:val="0"/>
      <w:em w:val="none"/>
      <w:lang w:bidi="ar-SA" w:eastAsia="en-US" w:val="en-US"/>
    </w:rPr>
  </w:style>
  <w:style w:type="paragraph" w:styleId="DefinitionList">
    <w:name w:val="Definition List"/>
    <w:basedOn w:val="Normal"/>
    <w:next w:val="DefinitionTerm"/>
    <w:autoRedefine w:val="0"/>
    <w:hidden w:val="0"/>
    <w:qFormat w:val="0"/>
    <w:pPr>
      <w:widowControl w:val="0"/>
      <w:suppressAutoHyphens w:val="1"/>
      <w:spacing w:after="0" w:before="0" w:line="1" w:lineRule="atLeast"/>
      <w:ind w:left="360" w:leftChars="-1" w:rightChars="0" w:firstLineChars="-1"/>
      <w:textDirection w:val="btLr"/>
      <w:textAlignment w:val="top"/>
      <w:outlineLvl w:val="0"/>
    </w:pPr>
    <w:rPr>
      <w:snapToGrid w:val="0"/>
      <w:w w:val="100"/>
      <w:position w:val="-1"/>
      <w:sz w:val="24"/>
      <w:effect w:val="none"/>
      <w:vertAlign w:val="baseline"/>
      <w:cs w:val="0"/>
      <w:em w:val="none"/>
      <w:lang w:bidi="ar-SA" w:eastAsia="en-US" w:val="en-US"/>
    </w:rPr>
  </w:style>
  <w:style w:type="character" w:styleId="Definition">
    <w:name w:val="Definition"/>
    <w:next w:val="Definition"/>
    <w:autoRedefine w:val="0"/>
    <w:hidden w:val="0"/>
    <w:qFormat w:val="0"/>
    <w:rPr>
      <w:i w:val="1"/>
      <w:w w:val="100"/>
      <w:position w:val="-1"/>
      <w:effect w:val="none"/>
      <w:vertAlign w:val="baseline"/>
      <w:cs w:val="0"/>
      <w:em w:val="none"/>
      <w:lang/>
    </w:rPr>
  </w:style>
  <w:style w:type="paragraph" w:styleId="H1">
    <w:name w:val="H1"/>
    <w:basedOn w:val="Normal"/>
    <w:next w:val="Normal"/>
    <w:autoRedefine w:val="0"/>
    <w:hidden w:val="0"/>
    <w:qFormat w:val="0"/>
    <w:pPr>
      <w:keepNext w:val="1"/>
      <w:widowControl w:val="0"/>
      <w:suppressAutoHyphens w:val="1"/>
      <w:spacing w:after="100" w:before="100" w:line="1" w:lineRule="atLeast"/>
      <w:ind w:leftChars="-1" w:rightChars="0" w:firstLineChars="-1"/>
      <w:textDirection w:val="btLr"/>
      <w:textAlignment w:val="top"/>
      <w:outlineLvl w:val="1"/>
    </w:pPr>
    <w:rPr>
      <w:b w:val="1"/>
      <w:snapToGrid w:val="0"/>
      <w:w w:val="100"/>
      <w:kern w:val="36"/>
      <w:position w:val="-1"/>
      <w:sz w:val="48"/>
      <w:effect w:val="none"/>
      <w:vertAlign w:val="baseline"/>
      <w:cs w:val="0"/>
      <w:em w:val="none"/>
      <w:lang w:bidi="ar-SA" w:eastAsia="en-US" w:val="en-US"/>
    </w:rPr>
  </w:style>
  <w:style w:type="paragraph" w:styleId="H2">
    <w:name w:val="H2"/>
    <w:basedOn w:val="Normal"/>
    <w:next w:val="Normal"/>
    <w:autoRedefine w:val="0"/>
    <w:hidden w:val="0"/>
    <w:qFormat w:val="0"/>
    <w:pPr>
      <w:keepNext w:val="1"/>
      <w:widowControl w:val="0"/>
      <w:suppressAutoHyphens w:val="1"/>
      <w:spacing w:after="100" w:before="100" w:line="1" w:lineRule="atLeast"/>
      <w:ind w:leftChars="-1" w:rightChars="0" w:firstLineChars="-1"/>
      <w:textDirection w:val="btLr"/>
      <w:textAlignment w:val="top"/>
      <w:outlineLvl w:val="2"/>
    </w:pPr>
    <w:rPr>
      <w:b w:val="1"/>
      <w:snapToGrid w:val="0"/>
      <w:w w:val="100"/>
      <w:position w:val="-1"/>
      <w:sz w:val="36"/>
      <w:effect w:val="none"/>
      <w:vertAlign w:val="baseline"/>
      <w:cs w:val="0"/>
      <w:em w:val="none"/>
      <w:lang w:bidi="ar-SA" w:eastAsia="en-US" w:val="en-US"/>
    </w:rPr>
  </w:style>
  <w:style w:type="paragraph" w:styleId="H3">
    <w:name w:val="H3"/>
    <w:basedOn w:val="Normal"/>
    <w:next w:val="Normal"/>
    <w:autoRedefine w:val="0"/>
    <w:hidden w:val="0"/>
    <w:qFormat w:val="0"/>
    <w:pPr>
      <w:keepNext w:val="1"/>
      <w:widowControl w:val="0"/>
      <w:suppressAutoHyphens w:val="1"/>
      <w:spacing w:after="100" w:before="100" w:line="1" w:lineRule="atLeast"/>
      <w:ind w:leftChars="-1" w:rightChars="0" w:firstLineChars="-1"/>
      <w:textDirection w:val="btLr"/>
      <w:textAlignment w:val="top"/>
      <w:outlineLvl w:val="3"/>
    </w:pPr>
    <w:rPr>
      <w:b w:val="1"/>
      <w:snapToGrid w:val="0"/>
      <w:w w:val="100"/>
      <w:position w:val="-1"/>
      <w:sz w:val="28"/>
      <w:effect w:val="none"/>
      <w:vertAlign w:val="baseline"/>
      <w:cs w:val="0"/>
      <w:em w:val="none"/>
      <w:lang w:bidi="ar-SA" w:eastAsia="en-US" w:val="en-US"/>
    </w:rPr>
  </w:style>
  <w:style w:type="paragraph" w:styleId="H4">
    <w:name w:val="H4"/>
    <w:basedOn w:val="Normal"/>
    <w:next w:val="Normal"/>
    <w:autoRedefine w:val="0"/>
    <w:hidden w:val="0"/>
    <w:qFormat w:val="0"/>
    <w:pPr>
      <w:keepNext w:val="1"/>
      <w:widowControl w:val="0"/>
      <w:suppressAutoHyphens w:val="1"/>
      <w:spacing w:after="100" w:before="100" w:line="1" w:lineRule="atLeast"/>
      <w:ind w:leftChars="-1" w:rightChars="0" w:firstLineChars="-1"/>
      <w:textDirection w:val="btLr"/>
      <w:textAlignment w:val="top"/>
      <w:outlineLvl w:val="4"/>
    </w:pPr>
    <w:rPr>
      <w:b w:val="1"/>
      <w:snapToGrid w:val="0"/>
      <w:w w:val="100"/>
      <w:position w:val="-1"/>
      <w:sz w:val="24"/>
      <w:effect w:val="none"/>
      <w:vertAlign w:val="baseline"/>
      <w:cs w:val="0"/>
      <w:em w:val="none"/>
      <w:lang w:bidi="ar-SA" w:eastAsia="en-US" w:val="en-US"/>
    </w:rPr>
  </w:style>
  <w:style w:type="paragraph" w:styleId="H5">
    <w:name w:val="H5"/>
    <w:basedOn w:val="Normal"/>
    <w:next w:val="Normal"/>
    <w:autoRedefine w:val="0"/>
    <w:hidden w:val="0"/>
    <w:qFormat w:val="0"/>
    <w:pPr>
      <w:keepNext w:val="1"/>
      <w:widowControl w:val="0"/>
      <w:suppressAutoHyphens w:val="1"/>
      <w:spacing w:after="100" w:before="100" w:line="1" w:lineRule="atLeast"/>
      <w:ind w:leftChars="-1" w:rightChars="0" w:firstLineChars="-1"/>
      <w:textDirection w:val="btLr"/>
      <w:textAlignment w:val="top"/>
      <w:outlineLvl w:val="5"/>
    </w:pPr>
    <w:rPr>
      <w:b w:val="1"/>
      <w:snapToGrid w:val="0"/>
      <w:w w:val="100"/>
      <w:position w:val="-1"/>
      <w:sz w:val="20"/>
      <w:effect w:val="none"/>
      <w:vertAlign w:val="baseline"/>
      <w:cs w:val="0"/>
      <w:em w:val="none"/>
      <w:lang w:bidi="ar-SA" w:eastAsia="en-US" w:val="en-US"/>
    </w:rPr>
  </w:style>
  <w:style w:type="paragraph" w:styleId="H6">
    <w:name w:val="H6"/>
    <w:basedOn w:val="Normal"/>
    <w:next w:val="Normal"/>
    <w:autoRedefine w:val="0"/>
    <w:hidden w:val="0"/>
    <w:qFormat w:val="0"/>
    <w:pPr>
      <w:keepNext w:val="1"/>
      <w:widowControl w:val="0"/>
      <w:suppressAutoHyphens w:val="1"/>
      <w:spacing w:after="100" w:before="100" w:line="1" w:lineRule="atLeast"/>
      <w:ind w:leftChars="-1" w:rightChars="0" w:firstLineChars="-1"/>
      <w:textDirection w:val="btLr"/>
      <w:textAlignment w:val="top"/>
      <w:outlineLvl w:val="6"/>
    </w:pPr>
    <w:rPr>
      <w:b w:val="1"/>
      <w:snapToGrid w:val="0"/>
      <w:w w:val="100"/>
      <w:position w:val="-1"/>
      <w:sz w:val="16"/>
      <w:effect w:val="none"/>
      <w:vertAlign w:val="baseline"/>
      <w:cs w:val="0"/>
      <w:em w:val="none"/>
      <w:lang w:bidi="ar-SA" w:eastAsia="en-US" w:val="en-US"/>
    </w:rPr>
  </w:style>
  <w:style w:type="paragraph" w:styleId="Address">
    <w:name w:val="Address"/>
    <w:basedOn w:val="Normal"/>
    <w:next w:val="Normal"/>
    <w:autoRedefine w:val="0"/>
    <w:hidden w:val="0"/>
    <w:qFormat w:val="0"/>
    <w:pPr>
      <w:widowControl w:val="0"/>
      <w:suppressAutoHyphens w:val="1"/>
      <w:spacing w:after="0" w:before="0" w:line="1" w:lineRule="atLeast"/>
      <w:ind w:leftChars="-1" w:rightChars="0" w:firstLineChars="-1"/>
      <w:textDirection w:val="btLr"/>
      <w:textAlignment w:val="top"/>
      <w:outlineLvl w:val="0"/>
    </w:pPr>
    <w:rPr>
      <w:i w:val="1"/>
      <w:snapToGrid w:val="0"/>
      <w:w w:val="100"/>
      <w:position w:val="-1"/>
      <w:sz w:val="24"/>
      <w:effect w:val="none"/>
      <w:vertAlign w:val="baseline"/>
      <w:cs w:val="0"/>
      <w:em w:val="none"/>
      <w:lang w:bidi="ar-SA" w:eastAsia="en-US" w:val="en-US"/>
    </w:rPr>
  </w:style>
  <w:style w:type="paragraph" w:styleId="Blockquote">
    <w:name w:val="Blockquote"/>
    <w:basedOn w:val="Normal"/>
    <w:next w:val="Blockquote"/>
    <w:autoRedefine w:val="0"/>
    <w:hidden w:val="0"/>
    <w:qFormat w:val="0"/>
    <w:pPr>
      <w:widowControl w:val="0"/>
      <w:suppressAutoHyphens w:val="1"/>
      <w:spacing w:after="100" w:before="100" w:line="1" w:lineRule="atLeast"/>
      <w:ind w:left="360" w:right="360" w:leftChars="-1" w:rightChars="0" w:firstLineChars="-1"/>
      <w:textDirection w:val="btLr"/>
      <w:textAlignment w:val="top"/>
      <w:outlineLvl w:val="0"/>
    </w:pPr>
    <w:rPr>
      <w:snapToGrid w:val="0"/>
      <w:w w:val="100"/>
      <w:position w:val="-1"/>
      <w:sz w:val="24"/>
      <w:effect w:val="none"/>
      <w:vertAlign w:val="baseline"/>
      <w:cs w:val="0"/>
      <w:em w:val="none"/>
      <w:lang w:bidi="ar-SA" w:eastAsia="en-US" w:val="en-US"/>
    </w:rPr>
  </w:style>
  <w:style w:type="character" w:styleId="CITE">
    <w:name w:val="CITE"/>
    <w:next w:val="CITE"/>
    <w:autoRedefine w:val="0"/>
    <w:hidden w:val="0"/>
    <w:qFormat w:val="0"/>
    <w:rPr>
      <w:i w:val="1"/>
      <w:w w:val="100"/>
      <w:position w:val="-1"/>
      <w:effect w:val="none"/>
      <w:vertAlign w:val="baseline"/>
      <w:cs w:val="0"/>
      <w:em w:val="none"/>
      <w:lang/>
    </w:rPr>
  </w:style>
  <w:style w:type="character" w:styleId="CODE">
    <w:name w:val="CODE"/>
    <w:next w:val="CODE"/>
    <w:autoRedefine w:val="0"/>
    <w:hidden w:val="0"/>
    <w:qFormat w:val="0"/>
    <w:rPr>
      <w:rFonts w:ascii="Courier New" w:hAnsi="Courier New"/>
      <w:w w:val="100"/>
      <w:position w:val="-1"/>
      <w:sz w:val="20"/>
      <w:effect w:val="none"/>
      <w:vertAlign w:val="baseline"/>
      <w:cs w:val="0"/>
      <w:em w:val="none"/>
      <w:lang/>
    </w:rPr>
  </w:style>
  <w:style w:type="character" w:styleId="Emphasis">
    <w:name w:val="Emphasis"/>
    <w:next w:val="Emphasis"/>
    <w:autoRedefine w:val="0"/>
    <w:hidden w:val="0"/>
    <w:qFormat w:val="0"/>
    <w:rPr>
      <w:i w:val="1"/>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character" w:styleId="Keyboard">
    <w:name w:val="Keyboard"/>
    <w:next w:val="Keyboard"/>
    <w:autoRedefine w:val="0"/>
    <w:hidden w:val="0"/>
    <w:qFormat w:val="0"/>
    <w:rPr>
      <w:rFonts w:ascii="Courier New" w:hAnsi="Courier New"/>
      <w:b w:val="1"/>
      <w:w w:val="100"/>
      <w:position w:val="-1"/>
      <w:sz w:val="20"/>
      <w:effect w:val="none"/>
      <w:vertAlign w:val="baseline"/>
      <w:cs w:val="0"/>
      <w:em w:val="none"/>
      <w:lang/>
    </w:rPr>
  </w:style>
  <w:style w:type="paragraph" w:styleId="Preformatted">
    <w:name w:val="Preformatted"/>
    <w:basedOn w:val="Normal"/>
    <w:next w:val="Preformatted"/>
    <w:autoRedefine w:val="0"/>
    <w:hidden w:val="0"/>
    <w:qFormat w:val="0"/>
    <w:pPr>
      <w:widowControl w:val="0"/>
      <w:tabs>
        <w:tab w:val="left" w:leader="none" w:pos="0"/>
        <w:tab w:val="left" w:leader="none" w:pos="959"/>
        <w:tab w:val="left" w:leader="none" w:pos="1918"/>
        <w:tab w:val="left" w:leader="none" w:pos="2877"/>
        <w:tab w:val="left" w:leader="none" w:pos="3836"/>
        <w:tab w:val="left" w:leader="none" w:pos="4795"/>
        <w:tab w:val="left" w:leader="none" w:pos="5754"/>
        <w:tab w:val="left" w:leader="none" w:pos="6713"/>
        <w:tab w:val="left" w:leader="none" w:pos="7672"/>
        <w:tab w:val="left" w:leader="none" w:pos="8631"/>
        <w:tab w:val="left" w:leader="none" w:pos="9590"/>
      </w:tabs>
      <w:suppressAutoHyphens w:val="1"/>
      <w:spacing w:after="0" w:before="0" w:line="1" w:lineRule="atLeast"/>
      <w:ind w:leftChars="-1" w:rightChars="0" w:firstLineChars="-1"/>
      <w:textDirection w:val="btLr"/>
      <w:textAlignment w:val="top"/>
      <w:outlineLvl w:val="0"/>
    </w:pPr>
    <w:rPr>
      <w:rFonts w:ascii="Courier New" w:hAnsi="Courier New"/>
      <w:snapToGrid w:val="0"/>
      <w:w w:val="100"/>
      <w:position w:val="-1"/>
      <w:sz w:val="20"/>
      <w:effect w:val="none"/>
      <w:vertAlign w:val="baseline"/>
      <w:cs w:val="0"/>
      <w:em w:val="none"/>
      <w:lang w:bidi="ar-SA" w:eastAsia="en-US" w:val="en-US"/>
    </w:rPr>
  </w:style>
  <w:style w:type="paragraph" w:styleId="z-BottomofForm">
    <w:name w:val="z-Bottom of Form"/>
    <w:next w:val="Normal"/>
    <w:autoRedefine w:val="0"/>
    <w:hidden w:val="0"/>
    <w:qFormat w:val="0"/>
    <w:pPr>
      <w:widowControl w:val="0"/>
      <w:pBdr>
        <w:top w:color="000000" w:space="0" w:sz="2" w:val="double"/>
      </w:pBdr>
      <w:suppressAutoHyphens w:val="1"/>
      <w:spacing w:line="1" w:lineRule="atLeast"/>
      <w:ind w:leftChars="-1" w:rightChars="0" w:firstLineChars="-1"/>
      <w:jc w:val="center"/>
      <w:textDirection w:val="btLr"/>
      <w:textAlignment w:val="top"/>
      <w:outlineLvl w:val="0"/>
    </w:pPr>
    <w:rPr>
      <w:rFonts w:ascii="Arial" w:hAnsi="Arial"/>
      <w:snapToGrid w:val="0"/>
      <w:vanish w:val="1"/>
      <w:w w:val="100"/>
      <w:position w:val="-1"/>
      <w:sz w:val="16"/>
      <w:effect w:val="none"/>
      <w:vertAlign w:val="baseline"/>
      <w:cs w:val="0"/>
      <w:em w:val="none"/>
      <w:lang w:bidi="ar-SA" w:eastAsia="en-US" w:val="en-US"/>
    </w:rPr>
  </w:style>
  <w:style w:type="paragraph" w:styleId="z-TopofForm">
    <w:name w:val="z-Top of Form"/>
    <w:next w:val="Normal"/>
    <w:autoRedefine w:val="0"/>
    <w:hidden w:val="0"/>
    <w:qFormat w:val="0"/>
    <w:pPr>
      <w:widowControl w:val="0"/>
      <w:pBdr>
        <w:bottom w:color="000000" w:space="0" w:sz="2" w:val="double"/>
      </w:pBdr>
      <w:suppressAutoHyphens w:val="1"/>
      <w:spacing w:line="1" w:lineRule="atLeast"/>
      <w:ind w:leftChars="-1" w:rightChars="0" w:firstLineChars="-1"/>
      <w:jc w:val="center"/>
      <w:textDirection w:val="btLr"/>
      <w:textAlignment w:val="top"/>
      <w:outlineLvl w:val="0"/>
    </w:pPr>
    <w:rPr>
      <w:rFonts w:ascii="Arial" w:hAnsi="Arial"/>
      <w:snapToGrid w:val="0"/>
      <w:vanish w:val="1"/>
      <w:w w:val="100"/>
      <w:position w:val="-1"/>
      <w:sz w:val="16"/>
      <w:effect w:val="none"/>
      <w:vertAlign w:val="baseline"/>
      <w:cs w:val="0"/>
      <w:em w:val="none"/>
      <w:lang w:bidi="ar-SA" w:eastAsia="en-US" w:val="en-US"/>
    </w:rPr>
  </w:style>
  <w:style w:type="character" w:styleId="Sample">
    <w:name w:val="Sample"/>
    <w:next w:val="Sample"/>
    <w:autoRedefine w:val="0"/>
    <w:hidden w:val="0"/>
    <w:qFormat w:val="0"/>
    <w:rPr>
      <w:rFonts w:ascii="Courier New" w:hAnsi="Courier New"/>
      <w:w w:val="100"/>
      <w:position w:val="-1"/>
      <w:effect w:val="none"/>
      <w:vertAlign w:val="baseline"/>
      <w:cs w:val="0"/>
      <w:em w:val="none"/>
      <w:lang/>
    </w:rPr>
  </w:style>
  <w:style w:type="character" w:styleId="Strong">
    <w:name w:val="Strong"/>
    <w:next w:val="Strong"/>
    <w:autoRedefine w:val="0"/>
    <w:hidden w:val="0"/>
    <w:qFormat w:val="0"/>
    <w:rPr>
      <w:b w:val="1"/>
      <w:w w:val="100"/>
      <w:position w:val="-1"/>
      <w:effect w:val="none"/>
      <w:vertAlign w:val="baseline"/>
      <w:cs w:val="0"/>
      <w:em w:val="none"/>
      <w:lang/>
    </w:rPr>
  </w:style>
  <w:style w:type="character" w:styleId="Typewriter">
    <w:name w:val="Typewriter"/>
    <w:next w:val="Typewriter"/>
    <w:autoRedefine w:val="0"/>
    <w:hidden w:val="0"/>
    <w:qFormat w:val="0"/>
    <w:rPr>
      <w:rFonts w:ascii="Courier New" w:hAnsi="Courier New"/>
      <w:w w:val="100"/>
      <w:position w:val="-1"/>
      <w:sz w:val="20"/>
      <w:effect w:val="none"/>
      <w:vertAlign w:val="baseline"/>
      <w:cs w:val="0"/>
      <w:em w:val="none"/>
      <w:lang/>
    </w:rPr>
  </w:style>
  <w:style w:type="character" w:styleId="Variable">
    <w:name w:val="Variable"/>
    <w:next w:val="Variable"/>
    <w:autoRedefine w:val="0"/>
    <w:hidden w:val="0"/>
    <w:qFormat w:val="0"/>
    <w:rPr>
      <w:i w:val="1"/>
      <w:w w:val="100"/>
      <w:position w:val="-1"/>
      <w:effect w:val="none"/>
      <w:vertAlign w:val="baseline"/>
      <w:cs w:val="0"/>
      <w:em w:val="none"/>
      <w:lang/>
    </w:rPr>
  </w:style>
  <w:style w:type="character" w:styleId="HTMLMarkup">
    <w:name w:val="HTML Markup"/>
    <w:next w:val="HTMLMarkup"/>
    <w:autoRedefine w:val="0"/>
    <w:hidden w:val="0"/>
    <w:qFormat w:val="0"/>
    <w:rPr>
      <w:vanish w:val="1"/>
      <w:color w:val="ff0000"/>
      <w:w w:val="100"/>
      <w:position w:val="-1"/>
      <w:effect w:val="none"/>
      <w:vertAlign w:val="baseline"/>
      <w:cs w:val="0"/>
      <w:em w:val="none"/>
      <w:lang/>
    </w:rPr>
  </w:style>
  <w:style w:type="character" w:styleId="Comment">
    <w:name w:val="Comment"/>
    <w:next w:val="Comment"/>
    <w:autoRedefine w:val="0"/>
    <w:hidden w:val="0"/>
    <w:qFormat w:val="0"/>
    <w:rPr>
      <w:vanish w:val="1"/>
      <w:w w:val="100"/>
      <w:position w:val="-1"/>
      <w:effect w:val="none"/>
      <w:vertAlign w:val="baseline"/>
      <w:cs w:val="0"/>
      <w:em w:val="none"/>
      <w:lang/>
    </w:rPr>
  </w:style>
  <w:style w:type="paragraph" w:styleId="DocumentMap">
    <w:name w:val="Document Map"/>
    <w:basedOn w:val="Normal"/>
    <w:next w:val="DocumentMap"/>
    <w:autoRedefine w:val="0"/>
    <w:hidden w:val="0"/>
    <w:qFormat w:val="0"/>
    <w:pPr>
      <w:widowControl w:val="0"/>
      <w:shd w:color="auto" w:fill="000080" w:val="clear"/>
      <w:suppressAutoHyphens w:val="1"/>
      <w:spacing w:after="100" w:before="100" w:line="1" w:lineRule="atLeast"/>
      <w:ind w:leftChars="-1" w:rightChars="0" w:firstLineChars="-1"/>
      <w:textDirection w:val="btLr"/>
      <w:textAlignment w:val="top"/>
      <w:outlineLvl w:val="0"/>
    </w:pPr>
    <w:rPr>
      <w:snapToGrid w:val="0"/>
      <w:w w:val="100"/>
      <w:position w:val="-1"/>
      <w:sz w:val="24"/>
      <w:effect w:val="none"/>
      <w:vertAlign w:val="baseline"/>
      <w:cs w:val="0"/>
      <w:em w:val="none"/>
      <w:lang w:bidi="ar-SA" w:eastAsia="en-US" w:val="en-US"/>
    </w:rPr>
  </w:style>
  <w:style w:type="paragraph" w:styleId="Header">
    <w:name w:val="Header"/>
    <w:basedOn w:val="Normal"/>
    <w:next w:val="Header"/>
    <w:autoRedefine w:val="0"/>
    <w:hidden w:val="0"/>
    <w:qFormat w:val="0"/>
    <w:pPr>
      <w:widowControl w:val="0"/>
      <w:tabs>
        <w:tab w:val="center" w:leader="none" w:pos="4536"/>
        <w:tab w:val="right" w:leader="none" w:pos="9072"/>
      </w:tabs>
      <w:suppressAutoHyphens w:val="1"/>
      <w:spacing w:after="100" w:before="100" w:line="1" w:lineRule="atLeast"/>
      <w:ind w:leftChars="-1" w:rightChars="0" w:firstLineChars="-1"/>
      <w:textDirection w:val="btLr"/>
      <w:textAlignment w:val="top"/>
      <w:outlineLvl w:val="0"/>
    </w:pPr>
    <w:rPr>
      <w:snapToGrid w:val="0"/>
      <w:w w:val="100"/>
      <w:position w:val="-1"/>
      <w:sz w:val="24"/>
      <w:effect w:val="none"/>
      <w:vertAlign w:val="baseline"/>
      <w:cs w:val="0"/>
      <w:em w:val="none"/>
      <w:lang w:bidi="ar-SA" w:eastAsia="en-US" w:val="en-US"/>
    </w:rPr>
  </w:style>
  <w:style w:type="paragraph" w:styleId="Footer">
    <w:name w:val="Footer"/>
    <w:basedOn w:val="Normal"/>
    <w:next w:val="Footer"/>
    <w:autoRedefine w:val="0"/>
    <w:hidden w:val="0"/>
    <w:qFormat w:val="0"/>
    <w:pPr>
      <w:widowControl w:val="0"/>
      <w:tabs>
        <w:tab w:val="center" w:leader="none" w:pos="4536"/>
        <w:tab w:val="right" w:leader="none" w:pos="9072"/>
      </w:tabs>
      <w:suppressAutoHyphens w:val="1"/>
      <w:spacing w:after="100" w:before="100" w:line="1" w:lineRule="atLeast"/>
      <w:ind w:leftChars="-1" w:rightChars="0" w:firstLineChars="-1"/>
      <w:textDirection w:val="btLr"/>
      <w:textAlignment w:val="top"/>
      <w:outlineLvl w:val="0"/>
    </w:pPr>
    <w:rPr>
      <w:snapToGrid w:val="0"/>
      <w:w w:val="100"/>
      <w:position w:val="-1"/>
      <w:sz w:val="24"/>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0"/>
    <w:pPr>
      <w:widowControl w:val="0"/>
      <w:suppressAutoHyphens w:val="1"/>
      <w:spacing w:after="100" w:before="100" w:line="1" w:lineRule="atLeast"/>
      <w:ind w:leftChars="-1" w:rightChars="0" w:firstLineChars="-1"/>
      <w:textDirection w:val="btLr"/>
      <w:textAlignment w:val="top"/>
      <w:outlineLvl w:val="0"/>
    </w:pPr>
    <w:rPr>
      <w:rFonts w:ascii="Tahoma" w:cs="Tahoma" w:hAnsi="Tahoma"/>
      <w:snapToGrid w:val="0"/>
      <w:w w:val="100"/>
      <w:position w:val="-1"/>
      <w:sz w:val="16"/>
      <w:szCs w:val="16"/>
      <w:effect w:val="none"/>
      <w:vertAlign w:val="baseline"/>
      <w:cs w:val="0"/>
      <w:em w:val="none"/>
      <w:lang w:bidi="ar-SA" w:eastAsia="en-US" w:val="en-US"/>
    </w:rPr>
  </w:style>
  <w:style w:type="paragraph" w:styleId="PRAGHeading2">
    <w:name w:val="PRAG Heading 2"/>
    <w:basedOn w:val="Normal"/>
    <w:next w:val="PRAGHeading2"/>
    <w:autoRedefine w:val="0"/>
    <w:hidden w:val="0"/>
    <w:qFormat w:val="0"/>
    <w:pPr>
      <w:widowControl w:val="0"/>
      <w:numPr>
        <w:ilvl w:val="0"/>
        <w:numId w:val="37"/>
      </w:numPr>
      <w:suppressAutoHyphens w:val="1"/>
      <w:spacing w:after="100" w:before="100" w:line="1" w:lineRule="atLeast"/>
      <w:ind w:leftChars="-1" w:rightChars="0" w:firstLineChars="-1"/>
      <w:textDirection w:val="btLr"/>
      <w:textAlignment w:val="top"/>
      <w:outlineLvl w:val="0"/>
    </w:pPr>
    <w:rPr>
      <w:snapToGrid w:val="0"/>
      <w:w w:val="100"/>
      <w:position w:val="-1"/>
      <w:sz w:val="24"/>
      <w:effect w:val="none"/>
      <w:vertAlign w:val="baseline"/>
      <w:cs w:val="0"/>
      <w:em w:val="none"/>
      <w:lang w:bidi="ar-SA" w:eastAsia="en-US" w:val="en-US"/>
    </w:rPr>
  </w:style>
  <w:style w:type="paragraph" w:styleId="FootnoteText">
    <w:name w:val="Footnote Text"/>
    <w:basedOn w:val="Normal"/>
    <w:next w:val="FootnoteText"/>
    <w:autoRedefine w:val="0"/>
    <w:hidden w:val="0"/>
    <w:qFormat w:val="0"/>
    <w:pPr>
      <w:widowControl w:val="0"/>
      <w:suppressAutoHyphens w:val="1"/>
      <w:spacing w:after="100" w:before="100" w:line="1" w:lineRule="atLeast"/>
      <w:ind w:leftChars="-1" w:rightChars="0" w:firstLineChars="-1"/>
      <w:textDirection w:val="btLr"/>
      <w:textAlignment w:val="top"/>
      <w:outlineLvl w:val="0"/>
    </w:pPr>
    <w:rPr>
      <w:snapToGrid w:val="0"/>
      <w:w w:val="100"/>
      <w:position w:val="-1"/>
      <w:sz w:val="20"/>
      <w:effect w:val="none"/>
      <w:vertAlign w:val="baseline"/>
      <w:cs w:val="0"/>
      <w:em w:val="none"/>
      <w:lang w:bidi="ar-SA" w:eastAsia="en-US" w:val="en-US"/>
    </w:rPr>
  </w:style>
  <w:style w:type="character" w:styleId="FootnoteTextChar">
    <w:name w:val="Footnote Text Char"/>
    <w:next w:val="FootnoteTextChar"/>
    <w:autoRedefine w:val="0"/>
    <w:hidden w:val="0"/>
    <w:qFormat w:val="0"/>
    <w:rPr>
      <w:snapToGrid w:val="1"/>
      <w:w w:val="100"/>
      <w:position w:val="-1"/>
      <w:effect w:val="none"/>
      <w:vertAlign w:val="baseline"/>
      <w:cs w:val="0"/>
      <w:em w:val="none"/>
      <w:lang w:eastAsia="en-US" w:val="en-US"/>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widowControl w:val="0"/>
      <w:suppressAutoHyphens w:val="1"/>
      <w:spacing w:after="100" w:before="100" w:line="1" w:lineRule="atLeast"/>
      <w:ind w:leftChars="-1" w:rightChars="0" w:firstLineChars="-1"/>
      <w:textDirection w:val="btLr"/>
      <w:textAlignment w:val="top"/>
      <w:outlineLvl w:val="0"/>
    </w:pPr>
    <w:rPr>
      <w:snapToGrid w:val="0"/>
      <w:w w:val="100"/>
      <w:position w:val="-1"/>
      <w:sz w:val="20"/>
      <w:effect w:val="none"/>
      <w:vertAlign w:val="baseline"/>
      <w:cs w:val="0"/>
      <w:em w:val="none"/>
      <w:lang w:bidi="ar-SA" w:eastAsia="en-US" w:val="en-US"/>
    </w:rPr>
  </w:style>
  <w:style w:type="character" w:styleId="CommentTextChar">
    <w:name w:val="Comment Text Char"/>
    <w:next w:val="CommentTextChar"/>
    <w:autoRedefine w:val="0"/>
    <w:hidden w:val="0"/>
    <w:qFormat w:val="0"/>
    <w:rPr>
      <w:snapToGrid w:val="1"/>
      <w:w w:val="100"/>
      <w:position w:val="-1"/>
      <w:effect w:val="none"/>
      <w:vertAlign w:val="baseline"/>
      <w:cs w:val="0"/>
      <w:em w:val="none"/>
      <w:lang w:eastAsia="en-US" w:val="en-US"/>
    </w:rPr>
  </w:style>
  <w:style w:type="paragraph" w:styleId="CommentSubject">
    <w:name w:val="Comment Subject"/>
    <w:basedOn w:val="CommentText"/>
    <w:next w:val="CommentText"/>
    <w:autoRedefine w:val="0"/>
    <w:hidden w:val="0"/>
    <w:qFormat w:val="0"/>
    <w:pPr>
      <w:widowControl w:val="0"/>
      <w:suppressAutoHyphens w:val="1"/>
      <w:spacing w:after="100" w:before="100" w:line="1" w:lineRule="atLeast"/>
      <w:ind w:leftChars="-1" w:rightChars="0" w:firstLineChars="-1"/>
      <w:textDirection w:val="btLr"/>
      <w:textAlignment w:val="top"/>
      <w:outlineLvl w:val="0"/>
    </w:pPr>
    <w:rPr>
      <w:b w:val="1"/>
      <w:bCs w:val="1"/>
      <w:snapToGrid w:val="0"/>
      <w:w w:val="100"/>
      <w:position w:val="-1"/>
      <w:sz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b w:val="1"/>
      <w:bCs w:val="1"/>
      <w:snapToGrid w:val="1"/>
      <w:w w:val="100"/>
      <w:position w:val="-1"/>
      <w:effect w:val="none"/>
      <w:vertAlign w:val="baseline"/>
      <w:cs w:val="0"/>
      <w:em w:val="none"/>
      <w:lang w:eastAsia="en-US" w:val="en-US"/>
    </w:rPr>
  </w:style>
  <w:style w:type="paragraph" w:styleId="Text1">
    <w:name w:val="Text 1"/>
    <w:basedOn w:val="Normal"/>
    <w:next w:val="Text1"/>
    <w:autoRedefine w:val="0"/>
    <w:hidden w:val="0"/>
    <w:qFormat w:val="0"/>
    <w:pPr>
      <w:widowControl w:val="1"/>
      <w:suppressAutoHyphens w:val="1"/>
      <w:spacing w:after="120" w:before="120" w:line="1" w:lineRule="atLeast"/>
      <w:ind w:left="850" w:leftChars="-1" w:rightChars="0" w:firstLineChars="-1"/>
      <w:jc w:val="both"/>
      <w:textDirection w:val="btLr"/>
      <w:textAlignment w:val="top"/>
      <w:outlineLvl w:val="0"/>
    </w:pPr>
    <w:rPr>
      <w:snapToGrid w:val="1"/>
      <w:w w:val="100"/>
      <w:position w:val="-1"/>
      <w:sz w:val="24"/>
      <w:szCs w:val="22"/>
      <w:effect w:val="none"/>
      <w:vertAlign w:val="baseline"/>
      <w:cs w:val="0"/>
      <w:em w:val="none"/>
      <w:lang w:bidi="ar-SA" w:eastAsia="en-US" w:val="en-GB"/>
    </w:rPr>
  </w:style>
  <w:style w:type="paragraph" w:styleId="Text2">
    <w:name w:val="Text 2"/>
    <w:basedOn w:val="Normal"/>
    <w:next w:val="Text2"/>
    <w:autoRedefine w:val="0"/>
    <w:hidden w:val="0"/>
    <w:qFormat w:val="0"/>
    <w:pPr>
      <w:widowControl w:val="1"/>
      <w:suppressAutoHyphens w:val="1"/>
      <w:spacing w:after="120" w:before="120" w:line="1" w:lineRule="atLeast"/>
      <w:ind w:left="1417" w:leftChars="-1" w:rightChars="0" w:firstLineChars="-1"/>
      <w:jc w:val="both"/>
      <w:textDirection w:val="btLr"/>
      <w:textAlignment w:val="top"/>
      <w:outlineLvl w:val="0"/>
    </w:pPr>
    <w:rPr>
      <w:snapToGrid w:val="1"/>
      <w:w w:val="100"/>
      <w:position w:val="-1"/>
      <w:sz w:val="24"/>
      <w:szCs w:val="22"/>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widowControl w:val="1"/>
      <w:suppressAutoHyphens w:val="1"/>
      <w:spacing w:after="120" w:before="0" w:line="1" w:lineRule="atLeast"/>
      <w:ind w:left="567" w:leftChars="-1" w:rightChars="0" w:firstLineChars="-1"/>
      <w:jc w:val="both"/>
      <w:textDirection w:val="btLr"/>
      <w:textAlignment w:val="top"/>
      <w:outlineLvl w:val="0"/>
    </w:pPr>
    <w:rPr>
      <w:snapToGrid w:val="0"/>
      <w:w w:val="100"/>
      <w:position w:val="-1"/>
      <w:sz w:val="22"/>
      <w:effect w:val="none"/>
      <w:vertAlign w:val="baseline"/>
      <w:cs w:val="0"/>
      <w:em w:val="none"/>
      <w:lang w:bidi="ar-SA" w:eastAsia="en-US" w:val="en-GB"/>
    </w:rPr>
  </w:style>
  <w:style w:type="character" w:styleId="BodyTextIndentChar">
    <w:name w:val="Body Text Indent Char"/>
    <w:next w:val="BodyTextIndentChar"/>
    <w:autoRedefine w:val="0"/>
    <w:hidden w:val="0"/>
    <w:qFormat w:val="0"/>
    <w:rPr>
      <w:snapToGrid w:val="1"/>
      <w:w w:val="100"/>
      <w:position w:val="-1"/>
      <w:sz w:val="22"/>
      <w:effect w:val="none"/>
      <w:vertAlign w:val="baseline"/>
      <w:cs w:val="0"/>
      <w:em w:val="none"/>
      <w:lang w:eastAsia="en-US"/>
    </w:rPr>
  </w:style>
  <w:style w:type="character" w:styleId="Heading2Char">
    <w:name w:val="Heading 2 Char"/>
    <w:next w:val="Heading2Char"/>
    <w:autoRedefine w:val="0"/>
    <w:hidden w:val="0"/>
    <w:qFormat w:val="0"/>
    <w:rPr>
      <w:b w:val="1"/>
      <w:snapToGrid w:val="1"/>
      <w:w w:val="100"/>
      <w:position w:val="-1"/>
      <w:sz w:val="22"/>
      <w:szCs w:val="22"/>
      <w:effect w:val="none"/>
      <w:vertAlign w:val="baseline"/>
      <w:cs w:val="0"/>
      <w:em w:val="none"/>
      <w:lang w:eastAsia="en-US"/>
    </w:rPr>
  </w:style>
  <w:style w:type="character" w:styleId="Heading3Char">
    <w:name w:val="Heading 3 Char"/>
    <w:next w:val="Heading3Char"/>
    <w:autoRedefine w:val="0"/>
    <w:hidden w:val="0"/>
    <w:qFormat w:val="0"/>
    <w:rPr>
      <w:w w:val="100"/>
      <w:position w:val="-1"/>
      <w:sz w:val="22"/>
      <w:szCs w:val="22"/>
      <w:effect w:val="none"/>
      <w:vertAlign w:val="baseline"/>
      <w:cs w:val="0"/>
      <w:em w:val="none"/>
      <w:lang w:eastAsia="en-US"/>
    </w:rPr>
  </w:style>
  <w:style w:type="character" w:styleId="Heading4Char">
    <w:name w:val="Heading 4 Char"/>
    <w:next w:val="Heading4Char"/>
    <w:autoRedefine w:val="0"/>
    <w:hidden w:val="0"/>
    <w:qFormat w:val="0"/>
    <w:rPr>
      <w:snapToGrid w:val="1"/>
      <w:w w:val="100"/>
      <w:position w:val="-1"/>
      <w:sz w:val="22"/>
      <w:szCs w:val="22"/>
      <w:effect w:val="none"/>
      <w:vertAlign w:val="baseline"/>
      <w:cs w:val="0"/>
      <w:em w:val="none"/>
      <w:lang w:eastAsia="en-US"/>
    </w:rPr>
  </w:style>
  <w:style w:type="character" w:styleId="Heading5Char">
    <w:name w:val="Heading 5 Char"/>
    <w:next w:val="Heading5Char"/>
    <w:autoRedefine w:val="0"/>
    <w:hidden w:val="0"/>
    <w:qFormat w:val="0"/>
    <w:rPr>
      <w:snapToGrid w:val="1"/>
      <w:w w:val="100"/>
      <w:position w:val="-1"/>
      <w:sz w:val="22"/>
      <w:szCs w:val="22"/>
      <w:effect w:val="none"/>
      <w:vertAlign w:val="baseline"/>
      <w:cs w:val="0"/>
      <w:em w:val="none"/>
      <w:lang w:eastAsia="en-US"/>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4.png"/><Relationship Id="rId13" Type="http://schemas.openxmlformats.org/officeDocument/2006/relationships/hyperlink" Target="mailto:cri@dse.md" TargetMode="External"/><Relationship Id="rId12" Type="http://schemas.openxmlformats.org/officeDocument/2006/relationships/hyperlink" Target="http://dse.md/ru/achiziti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jwLSEuA9nypyDmBemcgr7QRP2w==">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2015-12-16T11:27:00Z</dcterms:created>
  <dc:creator>BOURDILLEAU Anne (DEVCO)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Generator">
    <vt:lpstr>Microsoft Word 97</vt:lpstr>
  </property>
  <property fmtid="{D5CDD505-2E9C-101B-9397-08002B2CF9AE}" pid="4" name="_AdHocReviewCycleID">
    <vt:i4>-1612957816</vt:i4>
  </property>
  <property fmtid="{D5CDD505-2E9C-101B-9397-08002B2CF9AE}" pid="5" name="Checked by">
    <vt:lpstr>duboile</vt:lpstr>
  </property>
  <property fmtid="{D5CDD505-2E9C-101B-9397-08002B2CF9AE}" pid="6" name="_PreviousAdHocReviewCycleID">
    <vt:i4>-238929066</vt:i4>
  </property>
  <property fmtid="{D5CDD505-2E9C-101B-9397-08002B2CF9AE}" pid="7" name="_ReviewingToolsShownOnce">
    <vt:lpstr/>
  </property>
</Properties>
</file>